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jc w:val="center"/>
        <w:rPr>
          <w:rFonts w:hAnsi="宋体" w:hint="eastAsia"/>
          <w:b/>
          <w:color w:val="auto"/>
          <w:sz w:val="44"/>
          <w:szCs w:val="44"/>
        </w:rPr>
      </w:pPr>
      <w:r>
        <w:rPr>
          <w:rFonts w:hAnsi="宋体" w:hint="eastAsia"/>
          <w:b/>
          <w:color w:val="auto"/>
          <w:sz w:val="44"/>
          <w:szCs w:val="44"/>
        </w:rPr>
        <w:t>参与培训事务所名单</w:t>
      </w:r>
    </w:p>
    <w:p>
      <w:pPr>
        <w:widowControl/>
        <w:jc w:val="center"/>
        <w:rPr>
          <w:rFonts w:hAnsi="宋体" w:hint="eastAsia"/>
          <w:color w:val="auto"/>
          <w:sz w:val="24"/>
          <w:szCs w:val="24"/>
        </w:rPr>
      </w:pP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北京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永恩力合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北京天正华会计师事务所（普通合伙），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北京正则通会计师事务所</w:t>
      </w:r>
      <w:r>
        <w:rPr>
          <w:rFonts w:ascii="仿宋" w:eastAsia="仿宋" w:hAnsi="仿宋" w:hint="eastAsia"/>
          <w:color w:val="auto"/>
          <w:sz w:val="32"/>
          <w:szCs w:val="32"/>
        </w:rPr>
        <w:t>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北京市新天地会计师事务所（普通合伙），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</w:t>
      </w:r>
      <w:proofErr w:type="gramStart"/>
      <w:r>
        <w:rPr>
          <w:rFonts w:ascii="仿宋" w:eastAsia="仿宋" w:hAnsi="仿宋" w:hint="eastAsia"/>
          <w:sz w:val="32"/>
          <w:szCs w:val="32"/>
        </w:rPr>
        <w:t>昊</w:t>
      </w:r>
      <w:proofErr w:type="gramEnd"/>
      <w:r>
        <w:rPr>
          <w:rFonts w:ascii="仿宋" w:eastAsia="仿宋" w:hAnsi="仿宋" w:hint="eastAsia"/>
          <w:sz w:val="32"/>
          <w:szCs w:val="32"/>
        </w:rPr>
        <w:t>信泰会计师事务所，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北京中启恒会计师事务所有限责任公司，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北京中同兴会计师事务所（普通合伙），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proofErr w:type="gramStart"/>
      <w:r>
        <w:rPr>
          <w:rFonts w:ascii="仿宋" w:eastAsia="仿宋" w:hAnsi="仿宋" w:hint="eastAsia"/>
          <w:sz w:val="32"/>
          <w:szCs w:val="32"/>
        </w:rPr>
        <w:t>中永众合</w:t>
      </w:r>
      <w:proofErr w:type="gramEnd"/>
      <w:r>
        <w:rPr>
          <w:rFonts w:ascii="仿宋" w:eastAsia="仿宋" w:hAnsi="仿宋" w:hint="eastAsia"/>
          <w:sz w:val="32"/>
          <w:szCs w:val="32"/>
        </w:rPr>
        <w:t>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北京中新天华会计师事务所有限公司， 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北京万全会计师事务所有限公司，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北京中科华会计师事务所有限公司，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中财汇信（北京）会计师事务所有限公司，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</w:t>
      </w:r>
      <w:proofErr w:type="gramStart"/>
      <w:r>
        <w:rPr>
          <w:rFonts w:ascii="仿宋" w:eastAsia="仿宋" w:hAnsi="仿宋" w:hint="eastAsia"/>
          <w:sz w:val="32"/>
          <w:szCs w:val="32"/>
        </w:rPr>
        <w:t>诚正信会计师</w:t>
      </w:r>
      <w:proofErr w:type="gramEnd"/>
      <w:r>
        <w:rPr>
          <w:rFonts w:ascii="仿宋" w:eastAsia="仿宋" w:hAnsi="仿宋" w:hint="eastAsia"/>
          <w:sz w:val="32"/>
          <w:szCs w:val="32"/>
        </w:rPr>
        <w:t>事务所有限公司,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中会仁会计师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事务所有限责任公司</w:t>
      </w:r>
      <w:r>
        <w:rPr>
          <w:rFonts w:ascii="仿宋" w:eastAsia="仿宋" w:hAnsi="仿宋" w:hint="eastAsia"/>
          <w:color w:val="auto"/>
          <w:sz w:val="32"/>
          <w:szCs w:val="32"/>
        </w:rPr>
        <w:t>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北京安成会计师事务所（普通合伙）</w:t>
      </w:r>
      <w:r>
        <w:rPr>
          <w:rFonts w:ascii="仿宋" w:eastAsia="仿宋" w:hAnsi="仿宋" w:hint="eastAsia"/>
          <w:color w:val="auto"/>
          <w:sz w:val="32"/>
          <w:szCs w:val="32"/>
        </w:rPr>
        <w:t>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北京正和信会计师事务所有限责任公司，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北京希瑞杰会计师事务所有限责任公司，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proofErr w:type="gramStart"/>
      <w:r>
        <w:rPr>
          <w:rFonts w:ascii="仿宋" w:eastAsia="仿宋" w:hAnsi="仿宋" w:hint="eastAsia"/>
          <w:sz w:val="32"/>
          <w:szCs w:val="32"/>
        </w:rPr>
        <w:t>中青瑞会计师</w:t>
      </w:r>
      <w:proofErr w:type="gramEnd"/>
      <w:r>
        <w:rPr>
          <w:rFonts w:ascii="仿宋" w:eastAsia="仿宋" w:hAnsi="仿宋" w:hint="eastAsia"/>
          <w:sz w:val="32"/>
          <w:szCs w:val="32"/>
        </w:rPr>
        <w:t>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</w:t>
      </w:r>
      <w:proofErr w:type="gramStart"/>
      <w:r>
        <w:rPr>
          <w:rFonts w:ascii="仿宋" w:eastAsia="仿宋" w:hAnsi="仿宋" w:hint="eastAsia"/>
          <w:sz w:val="32"/>
          <w:szCs w:val="32"/>
        </w:rPr>
        <w:t>中普信</w:t>
      </w:r>
      <w:proofErr w:type="gramEnd"/>
      <w:r>
        <w:rPr>
          <w:rFonts w:ascii="仿宋" w:eastAsia="仿宋" w:hAnsi="仿宋" w:hint="eastAsia"/>
          <w:sz w:val="32"/>
          <w:szCs w:val="32"/>
        </w:rPr>
        <w:t>华会计师事务所有限公司，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北京乾坤生会计师事务所有限责任公司，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北京中恒会计师事务所有限公司，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北京中瑞泰达会计师事务所有限责任公司，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北京信与诚会计师事务所有限责任公司，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北京双斗会计师事务所（普通合伙）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北京众合德会计师事务所有限公司，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北京中润会计师</w:t>
      </w:r>
      <w:proofErr w:type="gramEnd"/>
      <w:r>
        <w:rPr>
          <w:rFonts w:ascii="仿宋" w:eastAsia="仿宋" w:hAnsi="仿宋" w:hint="eastAsia"/>
          <w:sz w:val="32"/>
          <w:szCs w:val="32"/>
        </w:rPr>
        <w:t>事务所有限责任公司，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北京中西环球会计师事务所，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北京百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会计师事务所，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北京欣永会计师事务所有限公司</w:t>
      </w:r>
      <w:r>
        <w:rPr>
          <w:rFonts w:ascii="仿宋" w:eastAsia="仿宋" w:hAnsi="仿宋" w:hint="eastAsia"/>
          <w:color w:val="auto"/>
          <w:sz w:val="32"/>
          <w:szCs w:val="32"/>
        </w:rPr>
        <w:t>，</w:t>
      </w:r>
    </w:p>
    <w:p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北京中博华会计师事务所（普通合伙）</w:t>
      </w:r>
      <w:r>
        <w:rPr>
          <w:rFonts w:eastAsia="仿宋" w:hAnsi="宋体"/>
          <w:color w:val="auto"/>
          <w:sz w:val="32"/>
          <w:szCs w:val="32"/>
        </w:rPr>
        <w:t> </w:t>
      </w:r>
      <w:r>
        <w:rPr>
          <w:rFonts w:hAnsi="宋体"/>
          <w:color w:val="auto"/>
          <w:sz w:val="24"/>
          <w:szCs w:val="24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FA1"/>
    <w:multiLevelType w:val="hybridMultilevel"/>
    <w:tmpl w:val="73E216F2"/>
    <w:lvl w:ilvl="0" w:tplc="15269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6</cp:revision>
  <dcterms:created xsi:type="dcterms:W3CDTF">2016-10-26T05:41:00Z</dcterms:created>
  <dcterms:modified xsi:type="dcterms:W3CDTF">2016-10-26T06:59:00Z</dcterms:modified>
</cp:coreProperties>
</file>