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b/>
          <w:sz w:val="36"/>
          <w:szCs w:val="36"/>
        </w:rPr>
      </w:pPr>
      <w:r>
        <w:rPr>
          <w:rFonts w:hint="eastAsia" w:ascii="宋体" w:hAnsi="宋体"/>
          <w:b/>
          <w:sz w:val="36"/>
          <w:szCs w:val="36"/>
        </w:rPr>
        <w:t>资产评估准则--资产评估报告</w:t>
      </w:r>
    </w:p>
    <w:p>
      <w:pPr>
        <w:snapToGrid w:val="0"/>
        <w:spacing w:line="360" w:lineRule="auto"/>
        <w:jc w:val="center"/>
        <w:rPr>
          <w:rFonts w:ascii="宋体" w:hAnsi="宋体"/>
          <w:b/>
          <w:sz w:val="32"/>
          <w:szCs w:val="32"/>
        </w:rPr>
      </w:pPr>
      <w:r>
        <w:rPr>
          <w:rFonts w:hint="eastAsia" w:ascii="宋体" w:hAnsi="宋体"/>
          <w:b/>
          <w:sz w:val="32"/>
          <w:szCs w:val="32"/>
        </w:rPr>
        <w:t>（修订征求意见稿）</w:t>
      </w:r>
    </w:p>
    <w:p>
      <w:pPr>
        <w:spacing w:line="360" w:lineRule="auto"/>
        <w:jc w:val="center"/>
        <w:rPr>
          <w:rFonts w:ascii="宋体" w:hAnsi="宋体"/>
          <w:b/>
          <w:sz w:val="28"/>
          <w:szCs w:val="28"/>
        </w:rPr>
      </w:pPr>
      <w:bookmarkStart w:id="0" w:name="_GoBack"/>
      <w:bookmarkEnd w:id="0"/>
      <w:r>
        <w:rPr>
          <w:rFonts w:hint="eastAsia" w:ascii="宋体" w:hAnsi="宋体"/>
          <w:b/>
          <w:sz w:val="28"/>
          <w:szCs w:val="28"/>
        </w:rPr>
        <w:t>第一章 总则</w:t>
      </w:r>
    </w:p>
    <w:p>
      <w:pPr>
        <w:spacing w:line="360" w:lineRule="auto"/>
        <w:jc w:val="center"/>
        <w:rPr>
          <w:rFonts w:ascii="宋体" w:hAnsi="宋体"/>
          <w:b/>
          <w:sz w:val="28"/>
          <w:szCs w:val="28"/>
        </w:rPr>
      </w:pPr>
    </w:p>
    <w:p>
      <w:pPr>
        <w:snapToGrid w:val="0"/>
        <w:spacing w:line="360" w:lineRule="auto"/>
        <w:ind w:firstLine="560" w:firstLineChars="200"/>
        <w:rPr>
          <w:rFonts w:ascii="宋体" w:hAnsi="宋体"/>
          <w:sz w:val="28"/>
          <w:szCs w:val="28"/>
        </w:rPr>
      </w:pPr>
      <w:r>
        <w:rPr>
          <w:rFonts w:hint="eastAsia" w:ascii="宋体" w:hAnsi="宋体"/>
          <w:sz w:val="28"/>
          <w:szCs w:val="28"/>
        </w:rPr>
        <w:t>第一条　为规范资产评估报告编制和出具行为，保护资产评估当事人合法权益和公共利益，根据《资产评估准则——基本准则》，制定本准则。</w:t>
      </w:r>
    </w:p>
    <w:p>
      <w:pPr>
        <w:snapToGrid w:val="0"/>
        <w:spacing w:line="360" w:lineRule="auto"/>
        <w:ind w:firstLine="560" w:firstLineChars="200"/>
        <w:rPr>
          <w:rFonts w:ascii="宋体" w:hAnsi="宋体"/>
          <w:sz w:val="28"/>
          <w:szCs w:val="28"/>
        </w:rPr>
      </w:pPr>
      <w:r>
        <w:rPr>
          <w:rFonts w:hint="eastAsia" w:ascii="宋体" w:hAnsi="宋体"/>
          <w:sz w:val="28"/>
          <w:szCs w:val="28"/>
        </w:rPr>
        <w:t>第二条　本准则所称资产评估报告（以下简称评估报告），是资产评估机构及其资产评估专业人员遵守相关法律法规及资产评估准则的要求，根据委托在执行必要的评估程序后，对评估对象在评估基准日特定目的下的价值发表的、由资产评估机构出具的书面意见。</w:t>
      </w:r>
    </w:p>
    <w:p>
      <w:pPr>
        <w:spacing w:line="360" w:lineRule="auto"/>
        <w:ind w:firstLine="480"/>
        <w:rPr>
          <w:sz w:val="28"/>
          <w:szCs w:val="28"/>
        </w:rPr>
      </w:pPr>
      <w:r>
        <w:rPr>
          <w:rFonts w:hint="eastAsia"/>
          <w:sz w:val="28"/>
          <w:szCs w:val="28"/>
        </w:rPr>
        <w:t>第三条　执行资产评估业务，编制和出具评估报告，应当遵守本准则。</w:t>
      </w:r>
    </w:p>
    <w:p>
      <w:pPr>
        <w:snapToGrid w:val="0"/>
        <w:spacing w:line="360" w:lineRule="auto"/>
        <w:ind w:firstLine="560" w:firstLineChars="200"/>
        <w:rPr>
          <w:rFonts w:ascii="宋体" w:hAnsi="宋体"/>
          <w:sz w:val="28"/>
          <w:szCs w:val="28"/>
        </w:rPr>
      </w:pPr>
    </w:p>
    <w:p>
      <w:pPr>
        <w:snapToGrid w:val="0"/>
        <w:spacing w:line="360" w:lineRule="auto"/>
        <w:jc w:val="center"/>
        <w:rPr>
          <w:rFonts w:ascii="宋体" w:hAnsi="宋体"/>
          <w:b/>
          <w:sz w:val="28"/>
          <w:szCs w:val="28"/>
        </w:rPr>
      </w:pPr>
      <w:r>
        <w:rPr>
          <w:rFonts w:hint="eastAsia" w:ascii="宋体" w:hAnsi="宋体"/>
          <w:b/>
          <w:sz w:val="28"/>
          <w:szCs w:val="28"/>
        </w:rPr>
        <w:t>第二章 基本要求</w:t>
      </w:r>
    </w:p>
    <w:p>
      <w:pPr>
        <w:snapToGrid w:val="0"/>
        <w:spacing w:line="360" w:lineRule="auto"/>
        <w:rPr>
          <w:rFonts w:ascii="宋体" w:hAnsi="宋体"/>
          <w:sz w:val="28"/>
          <w:szCs w:val="28"/>
        </w:rPr>
      </w:pPr>
    </w:p>
    <w:p>
      <w:pPr>
        <w:snapToGrid w:val="0"/>
        <w:spacing w:line="360" w:lineRule="auto"/>
        <w:ind w:firstLine="560" w:firstLineChars="200"/>
        <w:rPr>
          <w:rFonts w:ascii="宋体" w:hAnsi="宋体"/>
          <w:sz w:val="28"/>
          <w:szCs w:val="28"/>
        </w:rPr>
      </w:pPr>
      <w:r>
        <w:rPr>
          <w:rFonts w:hint="eastAsia" w:ascii="宋体" w:hAnsi="宋体"/>
          <w:sz w:val="28"/>
          <w:szCs w:val="28"/>
        </w:rPr>
        <w:t>第四条　评估报告陈述的内容应当清晰、准确，不得有误导性的表述。</w:t>
      </w:r>
    </w:p>
    <w:p>
      <w:pPr>
        <w:snapToGrid w:val="0"/>
        <w:spacing w:line="360" w:lineRule="auto"/>
        <w:ind w:firstLine="560" w:firstLineChars="200"/>
        <w:rPr>
          <w:rFonts w:ascii="宋体" w:hAnsi="宋体"/>
          <w:sz w:val="28"/>
          <w:szCs w:val="28"/>
        </w:rPr>
      </w:pPr>
      <w:r>
        <w:rPr>
          <w:rFonts w:hint="eastAsia" w:ascii="宋体" w:hAnsi="宋体"/>
          <w:sz w:val="28"/>
          <w:szCs w:val="28"/>
        </w:rPr>
        <w:t>第五条　评估报告应当提供必要信息，以便于评估报告使用人能够合理理解评估结果。</w:t>
      </w:r>
    </w:p>
    <w:p>
      <w:pPr>
        <w:snapToGrid w:val="0"/>
        <w:spacing w:line="360" w:lineRule="auto"/>
        <w:ind w:firstLine="560" w:firstLineChars="200"/>
        <w:rPr>
          <w:rFonts w:ascii="宋体" w:hAnsi="宋体"/>
          <w:sz w:val="28"/>
          <w:szCs w:val="28"/>
        </w:rPr>
      </w:pPr>
      <w:r>
        <w:rPr>
          <w:rFonts w:hint="eastAsia" w:ascii="宋体" w:hAnsi="宋体"/>
          <w:sz w:val="28"/>
          <w:szCs w:val="28"/>
        </w:rPr>
        <w:t>第六条　评估报告的详略程度可以根据评估对象的复杂程度、委托人要求合理确定。</w:t>
      </w:r>
    </w:p>
    <w:p>
      <w:pPr>
        <w:snapToGrid w:val="0"/>
        <w:spacing w:line="360" w:lineRule="auto"/>
        <w:ind w:firstLine="560" w:firstLineChars="200"/>
        <w:rPr>
          <w:rFonts w:ascii="宋体" w:hAnsi="宋体"/>
          <w:sz w:val="28"/>
          <w:szCs w:val="28"/>
        </w:rPr>
      </w:pPr>
      <w:r>
        <w:rPr>
          <w:rFonts w:hint="eastAsia" w:ascii="宋体" w:hAnsi="宋体"/>
          <w:sz w:val="28"/>
          <w:szCs w:val="28"/>
        </w:rPr>
        <w:t>第七条　执行资产评估业务，评估程序受到限制的，经与委托人协商后仍需出具评估报告的，应当在评估报告中说明评估程序受限情况及处理方式。</w:t>
      </w:r>
    </w:p>
    <w:p>
      <w:pPr>
        <w:snapToGrid w:val="0"/>
        <w:spacing w:line="360" w:lineRule="auto"/>
        <w:ind w:firstLine="560" w:firstLineChars="200"/>
        <w:rPr>
          <w:rFonts w:ascii="宋体" w:hAnsi="宋体"/>
          <w:sz w:val="28"/>
          <w:szCs w:val="28"/>
        </w:rPr>
      </w:pPr>
      <w:r>
        <w:rPr>
          <w:rFonts w:hint="eastAsia" w:ascii="宋体" w:hAnsi="宋体"/>
          <w:sz w:val="28"/>
          <w:szCs w:val="28"/>
        </w:rPr>
        <w:t>第八条　评估报告应当由至少两名承办该项业务的资产评估专业人员签名并加盖评估机构印章。</w:t>
      </w:r>
    </w:p>
    <w:p>
      <w:pPr>
        <w:snapToGrid w:val="0"/>
        <w:spacing w:line="360" w:lineRule="auto"/>
        <w:ind w:firstLine="560" w:firstLineChars="200"/>
        <w:rPr>
          <w:rFonts w:ascii="宋体" w:hAnsi="宋体"/>
          <w:sz w:val="28"/>
          <w:szCs w:val="28"/>
        </w:rPr>
      </w:pPr>
      <w:r>
        <w:rPr>
          <w:rFonts w:hint="eastAsia" w:ascii="宋体" w:hAnsi="宋体"/>
          <w:sz w:val="28"/>
          <w:szCs w:val="28"/>
        </w:rPr>
        <w:t>法定评估业务的评估报告应当由至少两名承办该项业务的资产评估师签名，并加盖资产评估机构印章。</w:t>
      </w:r>
    </w:p>
    <w:p>
      <w:pPr>
        <w:snapToGrid w:val="0"/>
        <w:spacing w:line="360" w:lineRule="auto"/>
        <w:ind w:firstLine="560" w:firstLineChars="200"/>
        <w:rPr>
          <w:rFonts w:ascii="宋体" w:hAnsi="宋体"/>
          <w:sz w:val="28"/>
          <w:szCs w:val="28"/>
        </w:rPr>
      </w:pPr>
      <w:r>
        <w:rPr>
          <w:rFonts w:hint="eastAsia" w:ascii="宋体" w:hAnsi="宋体"/>
          <w:sz w:val="28"/>
          <w:szCs w:val="28"/>
        </w:rPr>
        <w:t>第九条　评估报告应当使用中文撰写。需要同时出具外文评估报告的，以中文评估报告为准。</w:t>
      </w:r>
    </w:p>
    <w:p>
      <w:pPr>
        <w:snapToGrid w:val="0"/>
        <w:spacing w:line="360" w:lineRule="auto"/>
        <w:ind w:firstLine="560" w:firstLineChars="200"/>
        <w:rPr>
          <w:rFonts w:ascii="宋体" w:hAnsi="宋体"/>
          <w:sz w:val="28"/>
          <w:szCs w:val="28"/>
        </w:rPr>
      </w:pPr>
      <w:r>
        <w:rPr>
          <w:rFonts w:hint="eastAsia" w:ascii="宋体" w:hAnsi="宋体"/>
          <w:sz w:val="28"/>
          <w:szCs w:val="28"/>
        </w:rPr>
        <w:t>评估报告一般以人民币为计量币种，使用其他币种计量的，应当注明该币种与人民币的汇率。</w:t>
      </w:r>
    </w:p>
    <w:p>
      <w:pPr>
        <w:snapToGrid w:val="0"/>
        <w:spacing w:line="360" w:lineRule="auto"/>
        <w:ind w:firstLine="560" w:firstLineChars="200"/>
        <w:rPr>
          <w:rFonts w:ascii="宋体" w:hAnsi="宋体" w:cs="宋体"/>
          <w:kern w:val="0"/>
          <w:sz w:val="28"/>
          <w:szCs w:val="28"/>
          <w:lang w:val="zh-CN"/>
        </w:rPr>
      </w:pPr>
      <w:r>
        <w:rPr>
          <w:rFonts w:hint="eastAsia" w:ascii="宋体" w:hAnsi="宋体"/>
          <w:sz w:val="28"/>
          <w:szCs w:val="28"/>
        </w:rPr>
        <w:t>第十条　评估报告应当明确评估结果的使用有效期。</w:t>
      </w:r>
    </w:p>
    <w:p>
      <w:pPr>
        <w:snapToGrid w:val="0"/>
        <w:spacing w:line="360" w:lineRule="auto"/>
        <w:ind w:firstLine="560" w:firstLineChars="200"/>
        <w:rPr>
          <w:rFonts w:ascii="宋体" w:hAnsi="宋体" w:cs="宋体"/>
          <w:kern w:val="0"/>
          <w:sz w:val="28"/>
          <w:szCs w:val="28"/>
          <w:lang w:val="zh-CN"/>
        </w:rPr>
      </w:pPr>
    </w:p>
    <w:p>
      <w:pPr>
        <w:snapToGrid w:val="0"/>
        <w:spacing w:line="360" w:lineRule="auto"/>
        <w:ind w:firstLine="562" w:firstLineChars="200"/>
        <w:jc w:val="center"/>
        <w:rPr>
          <w:rFonts w:ascii="宋体" w:hAnsi="宋体"/>
          <w:b/>
          <w:sz w:val="28"/>
          <w:szCs w:val="28"/>
        </w:rPr>
      </w:pPr>
      <w:r>
        <w:rPr>
          <w:rFonts w:hint="eastAsia" w:ascii="宋体" w:hAnsi="宋体"/>
          <w:b/>
          <w:sz w:val="28"/>
          <w:szCs w:val="28"/>
        </w:rPr>
        <w:t>第三章 评估报告的内容</w:t>
      </w:r>
    </w:p>
    <w:p>
      <w:pPr>
        <w:snapToGrid w:val="0"/>
        <w:spacing w:line="360" w:lineRule="auto"/>
        <w:ind w:firstLine="560" w:firstLineChars="200"/>
        <w:rPr>
          <w:rFonts w:ascii="宋体" w:hAnsi="宋体"/>
          <w:sz w:val="28"/>
          <w:szCs w:val="28"/>
        </w:rPr>
      </w:pPr>
    </w:p>
    <w:p>
      <w:pPr>
        <w:snapToGrid w:val="0"/>
        <w:spacing w:line="360" w:lineRule="auto"/>
        <w:ind w:firstLine="560" w:firstLineChars="200"/>
        <w:rPr>
          <w:rFonts w:ascii="宋体" w:hAnsi="宋体"/>
          <w:sz w:val="28"/>
          <w:szCs w:val="28"/>
        </w:rPr>
      </w:pPr>
      <w:r>
        <w:rPr>
          <w:rFonts w:hint="eastAsia" w:ascii="宋体" w:hAnsi="宋体"/>
          <w:sz w:val="28"/>
          <w:szCs w:val="28"/>
        </w:rPr>
        <w:t>第十一条　评估报告通常包括下列主要内容：</w:t>
      </w:r>
    </w:p>
    <w:p>
      <w:pPr>
        <w:snapToGrid w:val="0"/>
        <w:spacing w:line="360" w:lineRule="auto"/>
        <w:ind w:firstLine="560" w:firstLineChars="200"/>
        <w:rPr>
          <w:rFonts w:ascii="宋体" w:hAnsi="宋体"/>
          <w:sz w:val="28"/>
          <w:szCs w:val="28"/>
        </w:rPr>
      </w:pPr>
      <w:r>
        <w:rPr>
          <w:rFonts w:hint="eastAsia" w:ascii="宋体" w:hAnsi="宋体"/>
          <w:sz w:val="28"/>
          <w:szCs w:val="28"/>
        </w:rPr>
        <w:t>（一）标题及文号；</w:t>
      </w:r>
    </w:p>
    <w:p>
      <w:pPr>
        <w:snapToGrid w:val="0"/>
        <w:spacing w:line="360" w:lineRule="auto"/>
        <w:ind w:firstLine="560" w:firstLineChars="200"/>
        <w:rPr>
          <w:rFonts w:ascii="宋体" w:hAnsi="宋体"/>
          <w:sz w:val="28"/>
          <w:szCs w:val="28"/>
        </w:rPr>
      </w:pPr>
      <w:r>
        <w:rPr>
          <w:rFonts w:hint="eastAsia" w:ascii="宋体" w:hAnsi="宋体"/>
          <w:sz w:val="28"/>
          <w:szCs w:val="28"/>
        </w:rPr>
        <w:t>（二）目录；</w:t>
      </w:r>
    </w:p>
    <w:p>
      <w:pPr>
        <w:snapToGrid w:val="0"/>
        <w:spacing w:line="360" w:lineRule="auto"/>
        <w:ind w:firstLine="560" w:firstLineChars="200"/>
        <w:rPr>
          <w:rFonts w:ascii="宋体" w:hAnsi="宋体"/>
          <w:sz w:val="28"/>
          <w:szCs w:val="28"/>
        </w:rPr>
      </w:pPr>
      <w:r>
        <w:rPr>
          <w:rFonts w:hint="eastAsia" w:ascii="宋体" w:hAnsi="宋体"/>
          <w:sz w:val="28"/>
          <w:szCs w:val="28"/>
        </w:rPr>
        <w:t>（三）声明；</w:t>
      </w:r>
    </w:p>
    <w:p>
      <w:pPr>
        <w:snapToGrid w:val="0"/>
        <w:spacing w:line="360" w:lineRule="auto"/>
        <w:ind w:firstLine="560" w:firstLineChars="200"/>
        <w:rPr>
          <w:rFonts w:ascii="宋体" w:hAnsi="宋体"/>
          <w:sz w:val="28"/>
          <w:szCs w:val="28"/>
        </w:rPr>
      </w:pPr>
      <w:r>
        <w:rPr>
          <w:rFonts w:hint="eastAsia" w:ascii="宋体" w:hAnsi="宋体"/>
          <w:sz w:val="28"/>
          <w:szCs w:val="28"/>
        </w:rPr>
        <w:t>（四）摘要；</w:t>
      </w:r>
    </w:p>
    <w:p>
      <w:pPr>
        <w:snapToGrid w:val="0"/>
        <w:spacing w:line="360" w:lineRule="auto"/>
        <w:ind w:firstLine="560" w:firstLineChars="200"/>
        <w:rPr>
          <w:rFonts w:ascii="宋体" w:hAnsi="宋体"/>
          <w:sz w:val="28"/>
          <w:szCs w:val="28"/>
        </w:rPr>
      </w:pPr>
      <w:r>
        <w:rPr>
          <w:rFonts w:hint="eastAsia" w:ascii="宋体" w:hAnsi="宋体"/>
          <w:sz w:val="28"/>
          <w:szCs w:val="28"/>
        </w:rPr>
        <w:t>（五）正文；</w:t>
      </w:r>
    </w:p>
    <w:p>
      <w:pPr>
        <w:snapToGrid w:val="0"/>
        <w:spacing w:line="360" w:lineRule="auto"/>
        <w:ind w:firstLine="560" w:firstLineChars="200"/>
        <w:rPr>
          <w:rFonts w:ascii="宋体" w:hAnsi="宋体"/>
          <w:sz w:val="28"/>
          <w:szCs w:val="28"/>
        </w:rPr>
      </w:pPr>
      <w:r>
        <w:rPr>
          <w:rFonts w:hint="eastAsia" w:ascii="宋体" w:hAnsi="宋体"/>
          <w:sz w:val="28"/>
          <w:szCs w:val="28"/>
        </w:rPr>
        <w:t>（六）附件。</w:t>
      </w:r>
    </w:p>
    <w:p>
      <w:pPr>
        <w:snapToGrid w:val="0"/>
        <w:spacing w:line="360" w:lineRule="auto"/>
        <w:ind w:firstLine="560" w:firstLineChars="200"/>
        <w:rPr>
          <w:rFonts w:ascii="宋体" w:hAnsi="宋体"/>
          <w:sz w:val="28"/>
          <w:szCs w:val="28"/>
        </w:rPr>
      </w:pPr>
      <w:r>
        <w:rPr>
          <w:rFonts w:hint="eastAsia" w:ascii="宋体" w:hAnsi="宋体"/>
          <w:sz w:val="28"/>
          <w:szCs w:val="28"/>
        </w:rPr>
        <w:t>第十二条　评估报告的声明通常包括以下内容：</w:t>
      </w:r>
    </w:p>
    <w:p>
      <w:pPr>
        <w:snapToGrid w:val="0"/>
        <w:spacing w:line="360" w:lineRule="auto"/>
        <w:ind w:firstLine="560" w:firstLineChars="200"/>
        <w:rPr>
          <w:rFonts w:ascii="宋体" w:hAnsi="宋体"/>
          <w:sz w:val="28"/>
          <w:szCs w:val="28"/>
        </w:rPr>
      </w:pPr>
      <w:r>
        <w:rPr>
          <w:rFonts w:hint="eastAsia" w:ascii="宋体" w:hAnsi="宋体"/>
          <w:sz w:val="28"/>
          <w:szCs w:val="28"/>
        </w:rPr>
        <w:t>（一）本评估报告是依据财政部发布的资产评估基本准则和中国资产评估协会发布的资产评估执业准则和职业道德准则编制的。</w:t>
      </w:r>
    </w:p>
    <w:p>
      <w:pPr>
        <w:snapToGrid w:val="0"/>
        <w:spacing w:line="360" w:lineRule="auto"/>
        <w:ind w:firstLine="560" w:firstLineChars="200"/>
        <w:rPr>
          <w:rFonts w:ascii="宋体" w:hAnsi="宋体"/>
          <w:sz w:val="28"/>
          <w:szCs w:val="28"/>
        </w:rPr>
      </w:pPr>
      <w:r>
        <w:rPr>
          <w:rFonts w:hint="eastAsia" w:ascii="宋体" w:hAnsi="宋体"/>
          <w:sz w:val="28"/>
          <w:szCs w:val="28"/>
        </w:rPr>
        <w:t>（二）委托人或者本评估报告使用人应当按照法律规定和本评估报告载明的使用范围使用评估报告；委托人或者本评估报告使用人违反前述规定使用评估报告的，本资产评估机构、资产评估师和其他资产评估专业人员不承担责任。</w:t>
      </w:r>
    </w:p>
    <w:p>
      <w:pPr>
        <w:snapToGrid w:val="0"/>
        <w:spacing w:line="360" w:lineRule="auto"/>
        <w:ind w:firstLine="560" w:firstLineChars="200"/>
        <w:rPr>
          <w:rFonts w:ascii="宋体" w:hAnsi="宋体"/>
          <w:sz w:val="28"/>
          <w:szCs w:val="28"/>
        </w:rPr>
      </w:pPr>
      <w:r>
        <w:rPr>
          <w:rFonts w:hint="eastAsia" w:ascii="宋体" w:hAnsi="宋体"/>
          <w:sz w:val="28"/>
          <w:szCs w:val="28"/>
        </w:rPr>
        <w:t>（三）本评估报告仅供委托人、评估委托合同中约定的其他评估报告使用人和国家法律、法规规定的评估报告使用人使用；除此之外，任何机构和个人不能由于得到评估报告而成为评估报告的使用人。</w:t>
      </w:r>
    </w:p>
    <w:p>
      <w:pPr>
        <w:snapToGrid w:val="0"/>
        <w:spacing w:line="360" w:lineRule="auto"/>
        <w:ind w:firstLine="560" w:firstLineChars="200"/>
        <w:rPr>
          <w:rFonts w:ascii="宋体" w:hAnsi="宋体"/>
          <w:sz w:val="28"/>
          <w:szCs w:val="28"/>
        </w:rPr>
      </w:pPr>
      <w:r>
        <w:rPr>
          <w:rFonts w:hint="eastAsia" w:ascii="宋体" w:hAnsi="宋体"/>
          <w:sz w:val="28"/>
          <w:szCs w:val="28"/>
        </w:rPr>
        <w:t>（四）本资产评估机构、资产评估师和其他资产评估专业人员提示评估报告使用人应当正确理解评估结果，评估结果不等同于评估对象可实现的价格，评估结果不应当被认为是对评估对象可实现价格的保证。</w:t>
      </w:r>
    </w:p>
    <w:p>
      <w:pPr>
        <w:snapToGrid w:val="0"/>
        <w:spacing w:line="360" w:lineRule="auto"/>
        <w:ind w:firstLine="560" w:firstLineChars="200"/>
        <w:rPr>
          <w:rFonts w:ascii="宋体" w:hAnsi="宋体"/>
          <w:sz w:val="28"/>
          <w:szCs w:val="28"/>
        </w:rPr>
      </w:pPr>
      <w:r>
        <w:rPr>
          <w:rFonts w:hint="eastAsia" w:ascii="宋体" w:hAnsi="宋体"/>
          <w:sz w:val="28"/>
          <w:szCs w:val="28"/>
        </w:rPr>
        <w:t>（五）本资产评估机构、资产评估师和其他资产评估专业人员遵循独立、客观和公正的原则，遵守有关法律、法规和资产评估准则的规定，并对所出具的评估报告依法承担责任。</w:t>
      </w:r>
    </w:p>
    <w:p>
      <w:pPr>
        <w:snapToGrid w:val="0"/>
        <w:spacing w:line="360" w:lineRule="auto"/>
        <w:ind w:firstLine="560" w:firstLineChars="200"/>
        <w:rPr>
          <w:rFonts w:ascii="宋体" w:hAnsi="宋体"/>
          <w:sz w:val="28"/>
          <w:szCs w:val="28"/>
        </w:rPr>
      </w:pPr>
      <w:r>
        <w:rPr>
          <w:rFonts w:hint="eastAsia" w:ascii="宋体" w:hAnsi="宋体"/>
          <w:sz w:val="28"/>
          <w:szCs w:val="28"/>
        </w:rPr>
        <w:t>（六）提醒评估报告使用人关注评估报告特别事项说明和使用限制。</w:t>
      </w:r>
    </w:p>
    <w:p>
      <w:pPr>
        <w:snapToGrid w:val="0"/>
        <w:spacing w:line="360" w:lineRule="auto"/>
        <w:ind w:firstLine="560" w:firstLineChars="200"/>
        <w:rPr>
          <w:rFonts w:ascii="宋体" w:hAnsi="宋体"/>
          <w:sz w:val="28"/>
          <w:szCs w:val="28"/>
        </w:rPr>
      </w:pPr>
      <w:r>
        <w:rPr>
          <w:rFonts w:hint="eastAsia" w:ascii="宋体" w:hAnsi="宋体"/>
          <w:sz w:val="28"/>
          <w:szCs w:val="28"/>
        </w:rPr>
        <w:t>（七）其他需要声明的内容。</w:t>
      </w:r>
    </w:p>
    <w:p>
      <w:pPr>
        <w:snapToGrid w:val="0"/>
        <w:spacing w:line="360" w:lineRule="auto"/>
        <w:ind w:firstLine="560" w:firstLineChars="200"/>
        <w:rPr>
          <w:rFonts w:ascii="宋体" w:hAnsi="宋体"/>
          <w:sz w:val="28"/>
          <w:szCs w:val="28"/>
        </w:rPr>
      </w:pPr>
      <w:r>
        <w:rPr>
          <w:rFonts w:hint="eastAsia" w:ascii="宋体" w:hAnsi="宋体"/>
          <w:sz w:val="28"/>
          <w:szCs w:val="28"/>
        </w:rPr>
        <w:t>第十三条　评估报告摘要通常提供资产评估业务的主要信息及评估结果。</w:t>
      </w:r>
    </w:p>
    <w:p>
      <w:pPr>
        <w:snapToGrid w:val="0"/>
        <w:spacing w:line="360" w:lineRule="auto"/>
        <w:ind w:firstLine="560" w:firstLineChars="200"/>
        <w:rPr>
          <w:rFonts w:ascii="宋体" w:hAnsi="宋体"/>
          <w:sz w:val="28"/>
          <w:szCs w:val="28"/>
        </w:rPr>
      </w:pPr>
      <w:r>
        <w:rPr>
          <w:rFonts w:hint="eastAsia" w:ascii="宋体" w:hAnsi="宋体"/>
          <w:sz w:val="28"/>
          <w:szCs w:val="28"/>
        </w:rPr>
        <w:t>第十四条　评估报告正文通常包括：</w:t>
      </w:r>
    </w:p>
    <w:p>
      <w:pPr>
        <w:snapToGrid w:val="0"/>
        <w:spacing w:line="360" w:lineRule="auto"/>
        <w:ind w:firstLine="560" w:firstLineChars="200"/>
        <w:rPr>
          <w:rFonts w:ascii="宋体" w:hAnsi="宋体"/>
          <w:sz w:val="28"/>
          <w:szCs w:val="28"/>
        </w:rPr>
      </w:pPr>
      <w:r>
        <w:rPr>
          <w:rFonts w:hint="eastAsia" w:ascii="宋体" w:hAnsi="宋体"/>
          <w:sz w:val="28"/>
          <w:szCs w:val="28"/>
        </w:rPr>
        <w:t>（一）委托人及其他评估报告使用人；</w:t>
      </w:r>
    </w:p>
    <w:p>
      <w:pPr>
        <w:snapToGrid w:val="0"/>
        <w:spacing w:line="360" w:lineRule="auto"/>
        <w:ind w:firstLine="560" w:firstLineChars="200"/>
        <w:rPr>
          <w:rFonts w:ascii="宋体" w:hAnsi="宋体"/>
          <w:sz w:val="28"/>
          <w:szCs w:val="28"/>
        </w:rPr>
      </w:pPr>
      <w:r>
        <w:rPr>
          <w:rFonts w:hint="eastAsia" w:ascii="宋体" w:hAnsi="宋体"/>
          <w:sz w:val="28"/>
          <w:szCs w:val="28"/>
        </w:rPr>
        <w:t>（二）评估目的；</w:t>
      </w:r>
    </w:p>
    <w:p>
      <w:pPr>
        <w:snapToGrid w:val="0"/>
        <w:spacing w:line="360" w:lineRule="auto"/>
        <w:ind w:firstLine="560" w:firstLineChars="200"/>
        <w:rPr>
          <w:rFonts w:ascii="宋体" w:hAnsi="宋体"/>
          <w:sz w:val="28"/>
          <w:szCs w:val="28"/>
        </w:rPr>
      </w:pPr>
      <w:r>
        <w:rPr>
          <w:rFonts w:hint="eastAsia" w:ascii="宋体" w:hAnsi="宋体"/>
          <w:sz w:val="28"/>
          <w:szCs w:val="28"/>
        </w:rPr>
        <w:t>（三）评估对象和评估范围；</w:t>
      </w:r>
    </w:p>
    <w:p>
      <w:pPr>
        <w:snapToGrid w:val="0"/>
        <w:spacing w:line="360" w:lineRule="auto"/>
        <w:ind w:firstLine="560" w:firstLineChars="200"/>
        <w:rPr>
          <w:rFonts w:ascii="宋体" w:hAnsi="宋体"/>
          <w:sz w:val="28"/>
          <w:szCs w:val="28"/>
        </w:rPr>
      </w:pPr>
      <w:r>
        <w:rPr>
          <w:rFonts w:hint="eastAsia" w:ascii="宋体" w:hAnsi="宋体"/>
          <w:sz w:val="28"/>
          <w:szCs w:val="28"/>
        </w:rPr>
        <w:t>（四）价值类型；</w:t>
      </w:r>
    </w:p>
    <w:p>
      <w:pPr>
        <w:snapToGrid w:val="0"/>
        <w:spacing w:line="360" w:lineRule="auto"/>
        <w:ind w:firstLine="560" w:firstLineChars="200"/>
        <w:rPr>
          <w:rFonts w:ascii="宋体" w:hAnsi="宋体"/>
          <w:sz w:val="28"/>
          <w:szCs w:val="28"/>
        </w:rPr>
      </w:pPr>
      <w:r>
        <w:rPr>
          <w:rFonts w:hint="eastAsia" w:ascii="宋体" w:hAnsi="宋体"/>
          <w:sz w:val="28"/>
          <w:szCs w:val="28"/>
        </w:rPr>
        <w:t>（五）评估基准日；</w:t>
      </w:r>
    </w:p>
    <w:p>
      <w:pPr>
        <w:snapToGrid w:val="0"/>
        <w:spacing w:line="360" w:lineRule="auto"/>
        <w:ind w:firstLine="560" w:firstLineChars="200"/>
        <w:rPr>
          <w:rFonts w:ascii="宋体" w:hAnsi="宋体"/>
          <w:sz w:val="28"/>
          <w:szCs w:val="28"/>
        </w:rPr>
      </w:pPr>
      <w:r>
        <w:rPr>
          <w:rFonts w:hint="eastAsia" w:ascii="宋体" w:hAnsi="宋体"/>
          <w:sz w:val="28"/>
          <w:szCs w:val="28"/>
        </w:rPr>
        <w:t>（六）评估依据；</w:t>
      </w:r>
    </w:p>
    <w:p>
      <w:pPr>
        <w:snapToGrid w:val="0"/>
        <w:spacing w:line="360" w:lineRule="auto"/>
        <w:ind w:firstLine="560" w:firstLineChars="200"/>
        <w:rPr>
          <w:rFonts w:ascii="宋体" w:hAnsi="宋体"/>
          <w:sz w:val="28"/>
          <w:szCs w:val="28"/>
        </w:rPr>
      </w:pPr>
      <w:r>
        <w:rPr>
          <w:rFonts w:hint="eastAsia" w:ascii="宋体" w:hAnsi="宋体"/>
          <w:sz w:val="28"/>
          <w:szCs w:val="28"/>
        </w:rPr>
        <w:t>（七）评估方法；</w:t>
      </w:r>
    </w:p>
    <w:p>
      <w:pPr>
        <w:snapToGrid w:val="0"/>
        <w:spacing w:line="360" w:lineRule="auto"/>
        <w:ind w:firstLine="560" w:firstLineChars="200"/>
        <w:rPr>
          <w:rFonts w:ascii="宋体" w:hAnsi="宋体"/>
          <w:sz w:val="28"/>
          <w:szCs w:val="28"/>
        </w:rPr>
      </w:pPr>
      <w:r>
        <w:rPr>
          <w:rFonts w:hint="eastAsia" w:ascii="宋体" w:hAnsi="宋体"/>
          <w:sz w:val="28"/>
          <w:szCs w:val="28"/>
        </w:rPr>
        <w:t>（八）评估程序实施过程和情况；</w:t>
      </w:r>
    </w:p>
    <w:p>
      <w:pPr>
        <w:snapToGrid w:val="0"/>
        <w:spacing w:line="360" w:lineRule="auto"/>
        <w:ind w:firstLine="560" w:firstLineChars="200"/>
        <w:rPr>
          <w:rFonts w:ascii="宋体" w:hAnsi="宋体"/>
          <w:sz w:val="28"/>
          <w:szCs w:val="28"/>
        </w:rPr>
      </w:pPr>
      <w:r>
        <w:rPr>
          <w:rFonts w:hint="eastAsia" w:ascii="宋体" w:hAnsi="宋体"/>
          <w:sz w:val="28"/>
          <w:szCs w:val="28"/>
        </w:rPr>
        <w:t>（九）评估假设；</w:t>
      </w:r>
    </w:p>
    <w:p>
      <w:pPr>
        <w:snapToGrid w:val="0"/>
        <w:spacing w:line="360" w:lineRule="auto"/>
        <w:ind w:firstLine="560" w:firstLineChars="200"/>
        <w:rPr>
          <w:rFonts w:ascii="宋体" w:hAnsi="宋体"/>
          <w:sz w:val="28"/>
          <w:szCs w:val="28"/>
        </w:rPr>
      </w:pPr>
      <w:r>
        <w:rPr>
          <w:rFonts w:hint="eastAsia" w:ascii="宋体" w:hAnsi="宋体"/>
          <w:sz w:val="28"/>
          <w:szCs w:val="28"/>
        </w:rPr>
        <w:t>（十）评估结果；</w:t>
      </w:r>
    </w:p>
    <w:p>
      <w:pPr>
        <w:snapToGrid w:val="0"/>
        <w:spacing w:line="360" w:lineRule="auto"/>
        <w:ind w:firstLine="560" w:firstLineChars="200"/>
        <w:rPr>
          <w:rFonts w:ascii="宋体" w:hAnsi="宋体"/>
          <w:sz w:val="28"/>
          <w:szCs w:val="28"/>
        </w:rPr>
      </w:pPr>
      <w:r>
        <w:rPr>
          <w:rFonts w:hint="eastAsia" w:ascii="宋体" w:hAnsi="宋体"/>
          <w:sz w:val="28"/>
          <w:szCs w:val="28"/>
        </w:rPr>
        <w:t>（十一）特别事项说明；</w:t>
      </w:r>
    </w:p>
    <w:p>
      <w:pPr>
        <w:snapToGrid w:val="0"/>
        <w:spacing w:line="360" w:lineRule="auto"/>
        <w:ind w:firstLine="560" w:firstLineChars="200"/>
        <w:rPr>
          <w:rFonts w:ascii="宋体" w:hAnsi="宋体"/>
          <w:sz w:val="28"/>
          <w:szCs w:val="28"/>
        </w:rPr>
      </w:pPr>
      <w:r>
        <w:rPr>
          <w:rFonts w:hint="eastAsia" w:ascii="宋体" w:hAnsi="宋体"/>
          <w:sz w:val="28"/>
          <w:szCs w:val="28"/>
        </w:rPr>
        <w:t>（十二）评估报告使用限制说明；</w:t>
      </w:r>
    </w:p>
    <w:p>
      <w:pPr>
        <w:snapToGrid w:val="0"/>
        <w:spacing w:line="360" w:lineRule="auto"/>
        <w:ind w:firstLine="560" w:firstLineChars="200"/>
        <w:rPr>
          <w:rFonts w:ascii="宋体" w:hAnsi="宋体"/>
          <w:sz w:val="28"/>
          <w:szCs w:val="28"/>
        </w:rPr>
      </w:pPr>
      <w:r>
        <w:rPr>
          <w:rFonts w:hint="eastAsia" w:ascii="宋体" w:hAnsi="宋体"/>
          <w:sz w:val="28"/>
          <w:szCs w:val="28"/>
        </w:rPr>
        <w:t>（十三）评估报告日；</w:t>
      </w:r>
    </w:p>
    <w:p>
      <w:pPr>
        <w:snapToGrid w:val="0"/>
        <w:spacing w:line="360" w:lineRule="auto"/>
        <w:ind w:firstLine="560" w:firstLineChars="200"/>
        <w:rPr>
          <w:rFonts w:ascii="宋体" w:hAnsi="宋体"/>
          <w:sz w:val="28"/>
          <w:szCs w:val="28"/>
        </w:rPr>
      </w:pPr>
      <w:r>
        <w:rPr>
          <w:rFonts w:hint="eastAsia" w:ascii="宋体" w:hAnsi="宋体"/>
          <w:sz w:val="28"/>
          <w:szCs w:val="28"/>
        </w:rPr>
        <w:t>（十四）资产评估专业人员签名和资产评估机构印章。</w:t>
      </w:r>
    </w:p>
    <w:p>
      <w:pPr>
        <w:snapToGrid w:val="0"/>
        <w:spacing w:line="360" w:lineRule="auto"/>
        <w:ind w:firstLine="594"/>
        <w:rPr>
          <w:rFonts w:ascii="宋体" w:hAnsi="宋体"/>
          <w:sz w:val="28"/>
          <w:szCs w:val="28"/>
        </w:rPr>
      </w:pPr>
      <w:r>
        <w:rPr>
          <w:rFonts w:hint="eastAsia" w:ascii="宋体" w:hAnsi="宋体"/>
          <w:sz w:val="28"/>
          <w:szCs w:val="28"/>
        </w:rPr>
        <w:t>第十五条　评估报告使用人包括委托人、评估委托合同中约定的其他评估报告使用人和国家法律、法规规定的评估报告使用人。</w:t>
      </w:r>
    </w:p>
    <w:p>
      <w:pPr>
        <w:snapToGrid w:val="0"/>
        <w:spacing w:line="360" w:lineRule="auto"/>
        <w:ind w:firstLine="560" w:firstLineChars="200"/>
        <w:rPr>
          <w:rFonts w:ascii="宋体" w:hAnsi="宋体"/>
          <w:sz w:val="28"/>
          <w:szCs w:val="28"/>
        </w:rPr>
      </w:pPr>
      <w:r>
        <w:rPr>
          <w:rFonts w:hint="eastAsia" w:ascii="宋体" w:hAnsi="宋体"/>
          <w:sz w:val="28"/>
          <w:szCs w:val="28"/>
        </w:rPr>
        <w:t>第十六条　评估报告载明的评估目的应当惟一，表述应当明确、清晰。</w:t>
      </w:r>
    </w:p>
    <w:p>
      <w:pPr>
        <w:snapToGrid w:val="0"/>
        <w:spacing w:line="360" w:lineRule="auto"/>
        <w:ind w:firstLine="560" w:firstLineChars="200"/>
        <w:rPr>
          <w:rFonts w:ascii="宋体" w:hAnsi="宋体"/>
          <w:sz w:val="28"/>
          <w:szCs w:val="28"/>
        </w:rPr>
      </w:pPr>
      <w:r>
        <w:rPr>
          <w:rFonts w:hint="eastAsia" w:ascii="宋体" w:hAnsi="宋体"/>
          <w:sz w:val="28"/>
          <w:szCs w:val="28"/>
        </w:rPr>
        <w:t>第十七条　评估报告中应当载明评估对象和评估范围，并描述评估对象的基本情况。</w:t>
      </w:r>
    </w:p>
    <w:p>
      <w:pPr>
        <w:snapToGrid w:val="0"/>
        <w:spacing w:line="360" w:lineRule="auto"/>
        <w:ind w:firstLine="560" w:firstLineChars="200"/>
        <w:rPr>
          <w:rFonts w:ascii="宋体" w:hAnsi="宋体"/>
          <w:sz w:val="28"/>
          <w:szCs w:val="28"/>
        </w:rPr>
      </w:pPr>
      <w:r>
        <w:rPr>
          <w:rFonts w:hint="eastAsia" w:ascii="宋体" w:hAnsi="宋体"/>
          <w:sz w:val="28"/>
          <w:szCs w:val="28"/>
        </w:rPr>
        <w:t>第十八条　评估报告应当明确价值类型及其定义。选择市场价值以外的价值类型，还应当说明选择理由。</w:t>
      </w:r>
    </w:p>
    <w:p>
      <w:pPr>
        <w:snapToGrid w:val="0"/>
        <w:spacing w:line="360" w:lineRule="auto"/>
        <w:ind w:firstLine="560" w:firstLineChars="200"/>
        <w:rPr>
          <w:rFonts w:ascii="宋体" w:hAnsi="宋体"/>
          <w:sz w:val="28"/>
          <w:szCs w:val="28"/>
        </w:rPr>
      </w:pPr>
      <w:r>
        <w:rPr>
          <w:rFonts w:hint="eastAsia" w:ascii="宋体" w:hAnsi="宋体"/>
          <w:sz w:val="28"/>
          <w:szCs w:val="28"/>
        </w:rPr>
        <w:t>第十九条　评估报告应当载明评估基准日，并与评估委托合同约定的评估基准日保持一致。评估基准日可以是现在时点，也可以是过去或者将来的时点。</w:t>
      </w:r>
    </w:p>
    <w:p>
      <w:pPr>
        <w:snapToGrid w:val="0"/>
        <w:spacing w:line="360" w:lineRule="auto"/>
        <w:ind w:firstLine="560" w:firstLineChars="200"/>
        <w:rPr>
          <w:rFonts w:ascii="宋体" w:hAnsi="宋体"/>
          <w:sz w:val="28"/>
          <w:szCs w:val="28"/>
        </w:rPr>
      </w:pPr>
      <w:r>
        <w:rPr>
          <w:rFonts w:hint="eastAsia" w:ascii="宋体" w:hAnsi="宋体"/>
          <w:sz w:val="28"/>
          <w:szCs w:val="28"/>
        </w:rPr>
        <w:t>第二十条　评估报告应当说明评估遵循的法律依据、准则依据、权属依据及取价依据等。</w:t>
      </w:r>
    </w:p>
    <w:p>
      <w:pPr>
        <w:snapToGrid w:val="0"/>
        <w:spacing w:line="360" w:lineRule="auto"/>
        <w:ind w:firstLine="560" w:firstLineChars="200"/>
        <w:rPr>
          <w:rFonts w:ascii="宋体" w:hAnsi="宋体"/>
          <w:sz w:val="28"/>
          <w:szCs w:val="28"/>
        </w:rPr>
      </w:pPr>
      <w:r>
        <w:rPr>
          <w:rFonts w:hint="eastAsia" w:ascii="宋体" w:hAnsi="宋体"/>
          <w:sz w:val="28"/>
          <w:szCs w:val="28"/>
        </w:rPr>
        <w:t>第二十一条　评估报告应当说明所选用的评估方法及其理由。</w:t>
      </w:r>
    </w:p>
    <w:p>
      <w:pPr>
        <w:snapToGrid w:val="0"/>
        <w:spacing w:line="360" w:lineRule="auto"/>
        <w:ind w:firstLine="560" w:firstLineChars="200"/>
        <w:rPr>
          <w:rFonts w:ascii="宋体" w:hAnsi="宋体"/>
          <w:sz w:val="28"/>
          <w:szCs w:val="28"/>
        </w:rPr>
      </w:pPr>
      <w:r>
        <w:rPr>
          <w:rFonts w:hint="eastAsia" w:ascii="宋体" w:hAnsi="宋体"/>
          <w:sz w:val="28"/>
          <w:szCs w:val="28"/>
        </w:rPr>
        <w:t>未采用两种以上评估方法进行评估的，评估报告应当披露其他基本评估方法不适用的原因或所受的操作限制。</w:t>
      </w:r>
    </w:p>
    <w:p>
      <w:pPr>
        <w:snapToGrid w:val="0"/>
        <w:spacing w:line="360" w:lineRule="auto"/>
        <w:ind w:firstLine="560" w:firstLineChars="200"/>
        <w:rPr>
          <w:rFonts w:ascii="宋体" w:hAnsi="宋体"/>
          <w:sz w:val="28"/>
          <w:szCs w:val="28"/>
        </w:rPr>
      </w:pPr>
      <w:r>
        <w:rPr>
          <w:rFonts w:hint="eastAsia" w:ascii="宋体" w:hAnsi="宋体"/>
          <w:sz w:val="28"/>
          <w:szCs w:val="28"/>
        </w:rPr>
        <w:t>第二十二条　评估报告应当说明评估程序实施过程中现场调查、资料收集与分析、评定估算等主要内容。</w:t>
      </w:r>
    </w:p>
    <w:p>
      <w:pPr>
        <w:snapToGrid w:val="0"/>
        <w:spacing w:line="360" w:lineRule="auto"/>
        <w:ind w:firstLine="560" w:firstLineChars="200"/>
        <w:rPr>
          <w:rFonts w:ascii="宋体" w:hAnsi="宋体"/>
          <w:sz w:val="28"/>
          <w:szCs w:val="28"/>
        </w:rPr>
      </w:pPr>
      <w:r>
        <w:rPr>
          <w:rFonts w:hint="eastAsia" w:ascii="宋体" w:hAnsi="宋体"/>
          <w:sz w:val="28"/>
          <w:szCs w:val="28"/>
        </w:rPr>
        <w:t>第二十三条　评估报告应当披露所使用的评估假设。</w:t>
      </w:r>
    </w:p>
    <w:p>
      <w:pPr>
        <w:snapToGrid w:val="0"/>
        <w:spacing w:line="360" w:lineRule="auto"/>
        <w:ind w:firstLine="560" w:firstLineChars="200"/>
        <w:rPr>
          <w:rFonts w:ascii="宋体" w:hAnsi="宋体"/>
          <w:sz w:val="28"/>
          <w:szCs w:val="28"/>
        </w:rPr>
      </w:pPr>
      <w:r>
        <w:rPr>
          <w:rFonts w:hint="eastAsia" w:ascii="宋体" w:hAnsi="宋体"/>
          <w:sz w:val="28"/>
          <w:szCs w:val="28"/>
        </w:rPr>
        <w:t>第二十四条　评估报告应当以文字和数字形式清晰说明评估结果。</w:t>
      </w:r>
    </w:p>
    <w:p>
      <w:pPr>
        <w:snapToGrid w:val="0"/>
        <w:spacing w:line="360" w:lineRule="auto"/>
        <w:ind w:firstLine="560" w:firstLineChars="200"/>
        <w:rPr>
          <w:rFonts w:ascii="宋体" w:hAnsi="宋体"/>
          <w:sz w:val="28"/>
          <w:szCs w:val="28"/>
        </w:rPr>
      </w:pPr>
      <w:r>
        <w:rPr>
          <w:rFonts w:hint="eastAsia" w:ascii="宋体" w:hAnsi="宋体"/>
          <w:sz w:val="28"/>
          <w:szCs w:val="28"/>
        </w:rPr>
        <w:t>评估结果通常是确定的数值。经与委托人沟通，评估结果也可以是区间值或者其他形式的专业意见。</w:t>
      </w:r>
    </w:p>
    <w:p>
      <w:pPr>
        <w:snapToGrid w:val="0"/>
        <w:spacing w:line="360" w:lineRule="auto"/>
        <w:ind w:firstLine="560" w:firstLineChars="200"/>
        <w:rPr>
          <w:rFonts w:ascii="宋体" w:hAnsi="宋体"/>
          <w:sz w:val="28"/>
          <w:szCs w:val="28"/>
        </w:rPr>
      </w:pPr>
      <w:r>
        <w:rPr>
          <w:rFonts w:hint="eastAsia" w:ascii="宋体" w:hAnsi="宋体"/>
          <w:sz w:val="28"/>
          <w:szCs w:val="28"/>
        </w:rPr>
        <w:t>第二十五条　评估报告的特别事项说明通常包括下列内容：</w:t>
      </w:r>
    </w:p>
    <w:p>
      <w:pPr>
        <w:snapToGrid w:val="0"/>
        <w:spacing w:line="360" w:lineRule="auto"/>
        <w:ind w:firstLine="560" w:firstLineChars="200"/>
        <w:rPr>
          <w:rFonts w:ascii="宋体" w:hAnsi="宋体"/>
          <w:sz w:val="28"/>
          <w:szCs w:val="28"/>
        </w:rPr>
      </w:pPr>
      <w:r>
        <w:rPr>
          <w:rFonts w:hint="eastAsia" w:ascii="宋体" w:hAnsi="宋体"/>
          <w:sz w:val="28"/>
          <w:szCs w:val="28"/>
        </w:rPr>
        <w:t>（一）权属资料不完整或者存在瑕疵的情形；</w:t>
      </w:r>
    </w:p>
    <w:p>
      <w:pPr>
        <w:snapToGrid w:val="0"/>
        <w:spacing w:line="360" w:lineRule="auto"/>
        <w:ind w:firstLine="560" w:firstLineChars="200"/>
        <w:rPr>
          <w:rFonts w:ascii="宋体" w:hAnsi="宋体"/>
          <w:sz w:val="28"/>
          <w:szCs w:val="28"/>
        </w:rPr>
      </w:pPr>
      <w:r>
        <w:rPr>
          <w:rFonts w:hint="eastAsia" w:ascii="宋体" w:hAnsi="宋体"/>
          <w:sz w:val="28"/>
          <w:szCs w:val="28"/>
        </w:rPr>
        <w:t>（二）未决事项、法律纠纷等不确定因素；</w:t>
      </w:r>
    </w:p>
    <w:p>
      <w:pPr>
        <w:snapToGrid w:val="0"/>
        <w:spacing w:line="360" w:lineRule="auto"/>
        <w:ind w:firstLine="560" w:firstLineChars="200"/>
        <w:rPr>
          <w:rFonts w:ascii="宋体" w:hAnsi="宋体"/>
          <w:sz w:val="28"/>
          <w:szCs w:val="28"/>
        </w:rPr>
      </w:pPr>
      <w:r>
        <w:rPr>
          <w:rFonts w:hint="eastAsia" w:ascii="宋体" w:hAnsi="宋体"/>
          <w:sz w:val="28"/>
          <w:szCs w:val="28"/>
        </w:rPr>
        <w:t>（三）利用专家工作情况；</w:t>
      </w:r>
    </w:p>
    <w:p>
      <w:pPr>
        <w:snapToGrid w:val="0"/>
        <w:spacing w:line="360" w:lineRule="auto"/>
        <w:ind w:firstLine="560" w:firstLineChars="200"/>
        <w:rPr>
          <w:rFonts w:ascii="宋体" w:hAnsi="宋体"/>
          <w:sz w:val="28"/>
          <w:szCs w:val="28"/>
        </w:rPr>
      </w:pPr>
      <w:r>
        <w:rPr>
          <w:rFonts w:hint="eastAsia" w:ascii="宋体" w:hAnsi="宋体"/>
          <w:sz w:val="28"/>
          <w:szCs w:val="28"/>
        </w:rPr>
        <w:t>（四）重大期后事项；</w:t>
      </w:r>
    </w:p>
    <w:p>
      <w:pPr>
        <w:snapToGrid w:val="0"/>
        <w:spacing w:line="360" w:lineRule="auto"/>
        <w:ind w:firstLine="560" w:firstLineChars="200"/>
        <w:rPr>
          <w:rFonts w:ascii="宋体" w:hAnsi="宋体"/>
          <w:sz w:val="28"/>
          <w:szCs w:val="28"/>
        </w:rPr>
      </w:pPr>
      <w:r>
        <w:rPr>
          <w:rFonts w:hint="eastAsia" w:ascii="宋体" w:hAnsi="宋体"/>
          <w:sz w:val="28"/>
          <w:szCs w:val="28"/>
        </w:rPr>
        <w:t>（五）在不违背资产评估准则基本要求的情况下，采用的不同于资产评估准则规定的程序和方法。</w:t>
      </w:r>
    </w:p>
    <w:p>
      <w:pPr>
        <w:snapToGrid w:val="0"/>
        <w:spacing w:line="360" w:lineRule="auto"/>
        <w:ind w:firstLine="560" w:firstLineChars="200"/>
        <w:rPr>
          <w:rFonts w:ascii="宋体" w:hAnsi="宋体"/>
          <w:sz w:val="28"/>
          <w:szCs w:val="28"/>
        </w:rPr>
      </w:pPr>
      <w:r>
        <w:rPr>
          <w:rFonts w:hint="eastAsia" w:ascii="宋体" w:hAnsi="宋体"/>
          <w:sz w:val="28"/>
          <w:szCs w:val="28"/>
        </w:rPr>
        <w:t>评估报告应当重点提示评估报告使用人对特别事项予以关注。</w:t>
      </w:r>
    </w:p>
    <w:p>
      <w:pPr>
        <w:snapToGrid w:val="0"/>
        <w:spacing w:line="360" w:lineRule="auto"/>
        <w:ind w:firstLine="560" w:firstLineChars="200"/>
        <w:rPr>
          <w:rFonts w:ascii="宋体" w:hAnsi="宋体"/>
          <w:sz w:val="28"/>
          <w:szCs w:val="28"/>
        </w:rPr>
      </w:pPr>
      <w:r>
        <w:rPr>
          <w:rFonts w:hint="eastAsia" w:ascii="宋体" w:hAnsi="宋体"/>
          <w:sz w:val="28"/>
          <w:szCs w:val="28"/>
        </w:rPr>
        <w:t>第二十六条　评估报告的使用限制说明通常包括下列内容：</w:t>
      </w:r>
    </w:p>
    <w:p>
      <w:pPr>
        <w:snapToGrid w:val="0"/>
        <w:spacing w:line="360" w:lineRule="auto"/>
        <w:ind w:firstLine="560" w:firstLineChars="200"/>
        <w:rPr>
          <w:rFonts w:ascii="宋体" w:hAnsi="宋体"/>
          <w:sz w:val="28"/>
          <w:szCs w:val="28"/>
        </w:rPr>
      </w:pPr>
      <w:r>
        <w:rPr>
          <w:rFonts w:hint="eastAsia" w:ascii="宋体" w:hAnsi="宋体"/>
          <w:sz w:val="28"/>
          <w:szCs w:val="28"/>
        </w:rPr>
        <w:t>（一）委托人或者评估报告使用人应当按照法律规定和评估报告载明的使用范围使用评估报告；委托人或者评估报告使用人违反前述规定使用评估报告的，资产评估机构、资产评估师和其他资产评估专业人员不承担责任。</w:t>
      </w:r>
    </w:p>
    <w:p>
      <w:pPr>
        <w:snapToGrid w:val="0"/>
        <w:spacing w:line="360" w:lineRule="auto"/>
        <w:ind w:firstLine="560" w:firstLineChars="200"/>
        <w:rPr>
          <w:rFonts w:ascii="宋体" w:hAnsi="宋体"/>
          <w:sz w:val="28"/>
          <w:szCs w:val="28"/>
        </w:rPr>
      </w:pPr>
      <w:r>
        <w:rPr>
          <w:rFonts w:hint="eastAsia" w:ascii="宋体" w:hAnsi="宋体"/>
          <w:sz w:val="28"/>
          <w:szCs w:val="28"/>
        </w:rPr>
        <w:t>（二）评估报告仅供委托人、评估委托合同中约定的其他评估报告使用人和国家法律、法规规定的评估报告使用人使用；除此之外，任何机构和个人不能由于得到评估报告而成为评估报告的使用人。</w:t>
      </w:r>
    </w:p>
    <w:p>
      <w:pPr>
        <w:snapToGrid w:val="0"/>
        <w:spacing w:line="360" w:lineRule="auto"/>
        <w:ind w:firstLine="560" w:firstLineChars="200"/>
        <w:rPr>
          <w:rFonts w:ascii="宋体" w:hAnsi="宋体"/>
          <w:sz w:val="28"/>
          <w:szCs w:val="28"/>
        </w:rPr>
      </w:pPr>
      <w:r>
        <w:rPr>
          <w:rFonts w:hint="eastAsia" w:ascii="宋体" w:hAnsi="宋体"/>
          <w:sz w:val="28"/>
          <w:szCs w:val="28"/>
        </w:rPr>
        <w:t>（三）评估报告使用人应当正确理解评估结果，评估结果不等同于评估对象可实现的价格，评估结果不应当被认为是对评估对象可实现价格的保证。</w:t>
      </w:r>
    </w:p>
    <w:p>
      <w:pPr>
        <w:snapToGrid w:val="0"/>
        <w:spacing w:line="360" w:lineRule="auto"/>
        <w:ind w:firstLine="560" w:firstLineChars="200"/>
        <w:rPr>
          <w:rFonts w:ascii="宋体" w:hAnsi="宋体"/>
          <w:sz w:val="28"/>
          <w:szCs w:val="28"/>
        </w:rPr>
      </w:pPr>
      <w:r>
        <w:rPr>
          <w:rFonts w:hint="eastAsia" w:ascii="宋体" w:hAnsi="宋体"/>
          <w:sz w:val="28"/>
          <w:szCs w:val="28"/>
        </w:rPr>
        <w:t>（四）未征得出具评估报告的评估机构同意，评估报告的内容不得被摘抄、引用或披露于公开媒体，法律、法规规定以及相关当事人另有约定的除外；</w:t>
      </w:r>
    </w:p>
    <w:p>
      <w:pPr>
        <w:snapToGrid w:val="0"/>
        <w:spacing w:line="360" w:lineRule="auto"/>
        <w:ind w:firstLine="560" w:firstLineChars="200"/>
        <w:rPr>
          <w:rFonts w:ascii="宋体" w:hAnsi="宋体"/>
          <w:sz w:val="28"/>
          <w:szCs w:val="28"/>
        </w:rPr>
      </w:pPr>
      <w:r>
        <w:rPr>
          <w:rFonts w:hint="eastAsia" w:ascii="宋体" w:hAnsi="宋体"/>
          <w:sz w:val="28"/>
          <w:szCs w:val="28"/>
        </w:rPr>
        <w:t>（五）评估结果的使用有效期；</w:t>
      </w:r>
    </w:p>
    <w:p>
      <w:pPr>
        <w:snapToGrid w:val="0"/>
        <w:spacing w:line="360" w:lineRule="auto"/>
        <w:ind w:firstLine="560" w:firstLineChars="200"/>
        <w:rPr>
          <w:rFonts w:ascii="宋体" w:hAnsi="宋体"/>
          <w:sz w:val="28"/>
          <w:szCs w:val="28"/>
        </w:rPr>
      </w:pPr>
      <w:r>
        <w:rPr>
          <w:rFonts w:hint="eastAsia" w:ascii="宋体" w:hAnsi="宋体"/>
          <w:sz w:val="28"/>
          <w:szCs w:val="28"/>
        </w:rPr>
        <w:t>（六）因评估程序受限造成的评估报告的使用限制。</w:t>
      </w:r>
    </w:p>
    <w:p>
      <w:pPr>
        <w:tabs>
          <w:tab w:val="left" w:pos="180"/>
        </w:tabs>
        <w:snapToGrid w:val="0"/>
        <w:spacing w:line="360" w:lineRule="auto"/>
        <w:ind w:firstLine="560" w:firstLineChars="200"/>
        <w:rPr>
          <w:sz w:val="28"/>
          <w:szCs w:val="28"/>
          <w:lang w:val="zh-CN"/>
        </w:rPr>
      </w:pPr>
      <w:r>
        <w:rPr>
          <w:rFonts w:hint="eastAsia" w:ascii="宋体" w:hAnsi="宋体"/>
          <w:sz w:val="28"/>
          <w:szCs w:val="28"/>
        </w:rPr>
        <w:t>第二十七条　评估报告载明的评估报告日通常为评估专业意见形成的日期，可以不同于评估报告的签发日。</w:t>
      </w:r>
    </w:p>
    <w:p>
      <w:pPr>
        <w:tabs>
          <w:tab w:val="left" w:pos="180"/>
        </w:tabs>
        <w:snapToGrid w:val="0"/>
        <w:spacing w:line="360" w:lineRule="auto"/>
        <w:ind w:firstLine="560" w:firstLineChars="200"/>
        <w:rPr>
          <w:rFonts w:ascii="宋体" w:hAnsi="宋体"/>
          <w:sz w:val="28"/>
          <w:szCs w:val="28"/>
        </w:rPr>
      </w:pPr>
      <w:r>
        <w:rPr>
          <w:rFonts w:hint="eastAsia" w:ascii="宋体" w:hAnsi="宋体"/>
          <w:sz w:val="28"/>
          <w:szCs w:val="28"/>
        </w:rPr>
        <w:t>第二十八条　评估报告附件通常包括：</w:t>
      </w:r>
    </w:p>
    <w:p>
      <w:pPr>
        <w:tabs>
          <w:tab w:val="left" w:pos="180"/>
        </w:tabs>
        <w:snapToGrid w:val="0"/>
        <w:spacing w:line="360" w:lineRule="auto"/>
        <w:ind w:firstLine="560" w:firstLineChars="200"/>
        <w:rPr>
          <w:rFonts w:ascii="宋体" w:hAnsi="宋体"/>
          <w:sz w:val="28"/>
          <w:szCs w:val="28"/>
        </w:rPr>
      </w:pPr>
      <w:r>
        <w:rPr>
          <w:rFonts w:hint="eastAsia" w:ascii="宋体" w:hAnsi="宋体"/>
          <w:sz w:val="28"/>
          <w:szCs w:val="28"/>
        </w:rPr>
        <w:t>（一）评估对象所涉及的主要权属证明资料；</w:t>
      </w:r>
    </w:p>
    <w:p>
      <w:pPr>
        <w:tabs>
          <w:tab w:val="left" w:pos="180"/>
        </w:tabs>
        <w:snapToGrid w:val="0"/>
        <w:spacing w:line="360" w:lineRule="auto"/>
        <w:ind w:firstLine="560" w:firstLineChars="200"/>
        <w:rPr>
          <w:rFonts w:ascii="宋体" w:hAnsi="宋体"/>
          <w:sz w:val="28"/>
          <w:szCs w:val="28"/>
        </w:rPr>
      </w:pPr>
      <w:r>
        <w:rPr>
          <w:rFonts w:hint="eastAsia" w:ascii="宋体" w:hAnsi="宋体"/>
          <w:sz w:val="28"/>
          <w:szCs w:val="28"/>
        </w:rPr>
        <w:t>（二）委托人和相关当事人的承诺函；</w:t>
      </w:r>
    </w:p>
    <w:p>
      <w:pPr>
        <w:tabs>
          <w:tab w:val="left" w:pos="180"/>
        </w:tabs>
        <w:snapToGrid w:val="0"/>
        <w:spacing w:line="360" w:lineRule="auto"/>
        <w:ind w:firstLine="560" w:firstLineChars="200"/>
        <w:rPr>
          <w:rFonts w:ascii="宋体" w:hAnsi="宋体"/>
          <w:sz w:val="28"/>
          <w:szCs w:val="28"/>
        </w:rPr>
      </w:pPr>
      <w:r>
        <w:rPr>
          <w:rFonts w:hint="eastAsia" w:ascii="宋体" w:hAnsi="宋体"/>
          <w:sz w:val="28"/>
          <w:szCs w:val="28"/>
        </w:rPr>
        <w:t>（三）资产评估机构及签名资产评估专业人员的资格证明；</w:t>
      </w:r>
    </w:p>
    <w:p>
      <w:pPr>
        <w:tabs>
          <w:tab w:val="left" w:pos="180"/>
        </w:tabs>
        <w:snapToGrid w:val="0"/>
        <w:spacing w:line="360" w:lineRule="auto"/>
        <w:ind w:firstLine="560" w:firstLineChars="200"/>
        <w:rPr>
          <w:rFonts w:ascii="宋体" w:hAnsi="宋体"/>
          <w:sz w:val="28"/>
          <w:szCs w:val="28"/>
        </w:rPr>
      </w:pPr>
      <w:r>
        <w:rPr>
          <w:rFonts w:hint="eastAsia" w:ascii="宋体" w:hAnsi="宋体"/>
          <w:sz w:val="28"/>
          <w:szCs w:val="28"/>
        </w:rPr>
        <w:t>（四）资产评估汇总表或明细表。</w:t>
      </w:r>
    </w:p>
    <w:p>
      <w:pPr>
        <w:tabs>
          <w:tab w:val="left" w:pos="180"/>
        </w:tabs>
        <w:snapToGrid w:val="0"/>
        <w:spacing w:line="360" w:lineRule="auto"/>
        <w:ind w:firstLine="560" w:firstLineChars="200"/>
        <w:rPr>
          <w:rFonts w:ascii="宋体" w:hAnsi="宋体"/>
          <w:sz w:val="28"/>
          <w:szCs w:val="28"/>
        </w:rPr>
      </w:pPr>
    </w:p>
    <w:p>
      <w:pPr>
        <w:snapToGrid w:val="0"/>
        <w:spacing w:line="360" w:lineRule="auto"/>
        <w:jc w:val="center"/>
        <w:rPr>
          <w:rFonts w:ascii="宋体" w:hAnsi="宋体"/>
          <w:b/>
          <w:sz w:val="28"/>
          <w:szCs w:val="28"/>
        </w:rPr>
      </w:pPr>
      <w:r>
        <w:rPr>
          <w:rFonts w:hint="eastAsia" w:ascii="宋体" w:hAnsi="宋体"/>
          <w:b/>
          <w:sz w:val="28"/>
          <w:szCs w:val="28"/>
        </w:rPr>
        <w:t>第四章 附则</w:t>
      </w:r>
    </w:p>
    <w:p>
      <w:pPr>
        <w:snapToGrid w:val="0"/>
        <w:spacing w:line="360" w:lineRule="auto"/>
        <w:ind w:firstLine="2530" w:firstLineChars="900"/>
        <w:rPr>
          <w:rFonts w:ascii="宋体" w:hAnsi="宋体"/>
          <w:b/>
          <w:sz w:val="28"/>
          <w:szCs w:val="28"/>
        </w:rPr>
      </w:pPr>
    </w:p>
    <w:p>
      <w:pPr>
        <w:widowControl/>
        <w:snapToGrid w:val="0"/>
        <w:spacing w:line="360" w:lineRule="auto"/>
        <w:ind w:firstLine="560" w:firstLineChars="200"/>
        <w:rPr>
          <w:rFonts w:ascii="宋体" w:hAnsi="宋体"/>
          <w:sz w:val="28"/>
          <w:szCs w:val="28"/>
        </w:rPr>
      </w:pPr>
      <w:r>
        <w:rPr>
          <w:rFonts w:hint="eastAsia" w:ascii="宋体" w:hAnsi="宋体"/>
          <w:sz w:val="28"/>
          <w:szCs w:val="28"/>
        </w:rPr>
        <w:t>第二十九条 本准则自  年  月  日起施行。</w:t>
      </w: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19EA"/>
    <w:rsid w:val="00014206"/>
    <w:rsid w:val="00060D3C"/>
    <w:rsid w:val="00064CE9"/>
    <w:rsid w:val="000948CD"/>
    <w:rsid w:val="000B681C"/>
    <w:rsid w:val="000B6CB3"/>
    <w:rsid w:val="000E5523"/>
    <w:rsid w:val="001019EA"/>
    <w:rsid w:val="0015316A"/>
    <w:rsid w:val="00181767"/>
    <w:rsid w:val="001C0BED"/>
    <w:rsid w:val="001C4BC4"/>
    <w:rsid w:val="001D122F"/>
    <w:rsid w:val="001D7105"/>
    <w:rsid w:val="001E2C05"/>
    <w:rsid w:val="00206B1D"/>
    <w:rsid w:val="0020741F"/>
    <w:rsid w:val="00217A01"/>
    <w:rsid w:val="0022343D"/>
    <w:rsid w:val="002254A8"/>
    <w:rsid w:val="00225596"/>
    <w:rsid w:val="002348A0"/>
    <w:rsid w:val="00236C28"/>
    <w:rsid w:val="0024650C"/>
    <w:rsid w:val="00254CAA"/>
    <w:rsid w:val="00255F11"/>
    <w:rsid w:val="00256291"/>
    <w:rsid w:val="00256A16"/>
    <w:rsid w:val="0026314E"/>
    <w:rsid w:val="00265AFB"/>
    <w:rsid w:val="0027130C"/>
    <w:rsid w:val="0027451E"/>
    <w:rsid w:val="00275787"/>
    <w:rsid w:val="00286EAC"/>
    <w:rsid w:val="00290856"/>
    <w:rsid w:val="002A01C6"/>
    <w:rsid w:val="002A364F"/>
    <w:rsid w:val="002D614B"/>
    <w:rsid w:val="002E47F2"/>
    <w:rsid w:val="002E66F1"/>
    <w:rsid w:val="002F7F62"/>
    <w:rsid w:val="0033168B"/>
    <w:rsid w:val="00344C0E"/>
    <w:rsid w:val="00360A74"/>
    <w:rsid w:val="0036371C"/>
    <w:rsid w:val="003E48D5"/>
    <w:rsid w:val="003E7A75"/>
    <w:rsid w:val="003F1DB6"/>
    <w:rsid w:val="00400B43"/>
    <w:rsid w:val="00415353"/>
    <w:rsid w:val="00440237"/>
    <w:rsid w:val="00444068"/>
    <w:rsid w:val="00453486"/>
    <w:rsid w:val="004566C6"/>
    <w:rsid w:val="00463C3B"/>
    <w:rsid w:val="004A54D1"/>
    <w:rsid w:val="004A7C55"/>
    <w:rsid w:val="004C6CE5"/>
    <w:rsid w:val="004D3E53"/>
    <w:rsid w:val="004E633B"/>
    <w:rsid w:val="004F0E23"/>
    <w:rsid w:val="00524C46"/>
    <w:rsid w:val="005500D2"/>
    <w:rsid w:val="005533CA"/>
    <w:rsid w:val="0058008D"/>
    <w:rsid w:val="00593E87"/>
    <w:rsid w:val="0059581F"/>
    <w:rsid w:val="005B3895"/>
    <w:rsid w:val="005C5A30"/>
    <w:rsid w:val="005F7AD0"/>
    <w:rsid w:val="006045DB"/>
    <w:rsid w:val="00606109"/>
    <w:rsid w:val="00612220"/>
    <w:rsid w:val="0061410A"/>
    <w:rsid w:val="00620979"/>
    <w:rsid w:val="00627891"/>
    <w:rsid w:val="006329FD"/>
    <w:rsid w:val="00636ED6"/>
    <w:rsid w:val="00654DC5"/>
    <w:rsid w:val="00661459"/>
    <w:rsid w:val="006670A3"/>
    <w:rsid w:val="006A416B"/>
    <w:rsid w:val="006A6A03"/>
    <w:rsid w:val="006B2F40"/>
    <w:rsid w:val="006D12AE"/>
    <w:rsid w:val="006E5F04"/>
    <w:rsid w:val="006F1580"/>
    <w:rsid w:val="00705B0C"/>
    <w:rsid w:val="0070787B"/>
    <w:rsid w:val="0072075C"/>
    <w:rsid w:val="00721158"/>
    <w:rsid w:val="0074390E"/>
    <w:rsid w:val="00745199"/>
    <w:rsid w:val="00750F14"/>
    <w:rsid w:val="00771D0C"/>
    <w:rsid w:val="00780FD5"/>
    <w:rsid w:val="007C1AB3"/>
    <w:rsid w:val="007C386A"/>
    <w:rsid w:val="007E19BB"/>
    <w:rsid w:val="007F640F"/>
    <w:rsid w:val="00810306"/>
    <w:rsid w:val="00847F6A"/>
    <w:rsid w:val="00885A8A"/>
    <w:rsid w:val="008C1040"/>
    <w:rsid w:val="008C5250"/>
    <w:rsid w:val="008C57A2"/>
    <w:rsid w:val="008C7EB1"/>
    <w:rsid w:val="008D13BC"/>
    <w:rsid w:val="00902041"/>
    <w:rsid w:val="00940A01"/>
    <w:rsid w:val="009547C5"/>
    <w:rsid w:val="00963F70"/>
    <w:rsid w:val="0096587E"/>
    <w:rsid w:val="009863FE"/>
    <w:rsid w:val="00990326"/>
    <w:rsid w:val="009921A0"/>
    <w:rsid w:val="0099269F"/>
    <w:rsid w:val="009B1B1D"/>
    <w:rsid w:val="009B32B1"/>
    <w:rsid w:val="009B5416"/>
    <w:rsid w:val="009D02D9"/>
    <w:rsid w:val="00A231FE"/>
    <w:rsid w:val="00A659AF"/>
    <w:rsid w:val="00AA5406"/>
    <w:rsid w:val="00AF1E27"/>
    <w:rsid w:val="00B00598"/>
    <w:rsid w:val="00B13D1B"/>
    <w:rsid w:val="00B4695E"/>
    <w:rsid w:val="00B73B79"/>
    <w:rsid w:val="00B750BD"/>
    <w:rsid w:val="00BA5992"/>
    <w:rsid w:val="00BB3620"/>
    <w:rsid w:val="00BC3498"/>
    <w:rsid w:val="00C065C8"/>
    <w:rsid w:val="00C14429"/>
    <w:rsid w:val="00C15779"/>
    <w:rsid w:val="00C35BA9"/>
    <w:rsid w:val="00C63565"/>
    <w:rsid w:val="00C92BB7"/>
    <w:rsid w:val="00C94354"/>
    <w:rsid w:val="00CA20A8"/>
    <w:rsid w:val="00CC6E49"/>
    <w:rsid w:val="00CE4C0E"/>
    <w:rsid w:val="00D0033F"/>
    <w:rsid w:val="00D1251F"/>
    <w:rsid w:val="00D21A42"/>
    <w:rsid w:val="00D27AF2"/>
    <w:rsid w:val="00D27D7C"/>
    <w:rsid w:val="00D40281"/>
    <w:rsid w:val="00D45B44"/>
    <w:rsid w:val="00D501AF"/>
    <w:rsid w:val="00D77EF9"/>
    <w:rsid w:val="00DA41A5"/>
    <w:rsid w:val="00DA683E"/>
    <w:rsid w:val="00DE3D80"/>
    <w:rsid w:val="00E01CAD"/>
    <w:rsid w:val="00E2362B"/>
    <w:rsid w:val="00E26529"/>
    <w:rsid w:val="00E34119"/>
    <w:rsid w:val="00E43FA0"/>
    <w:rsid w:val="00E56EDE"/>
    <w:rsid w:val="00E876E2"/>
    <w:rsid w:val="00E9052B"/>
    <w:rsid w:val="00E96946"/>
    <w:rsid w:val="00EB5562"/>
    <w:rsid w:val="00EC3BEF"/>
    <w:rsid w:val="00EF71E7"/>
    <w:rsid w:val="00F208A3"/>
    <w:rsid w:val="00F32F35"/>
    <w:rsid w:val="00F37B6A"/>
    <w:rsid w:val="00F45B3B"/>
    <w:rsid w:val="00F54C7C"/>
    <w:rsid w:val="00F742FF"/>
    <w:rsid w:val="00F822E6"/>
    <w:rsid w:val="00F82E87"/>
    <w:rsid w:val="00FE6899"/>
    <w:rsid w:val="00FF6C7D"/>
    <w:rsid w:val="045C5C9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9"/>
    <w:uiPriority w:val="0"/>
    <w:rPr>
      <w:b/>
      <w:bCs/>
    </w:rPr>
  </w:style>
  <w:style w:type="paragraph" w:styleId="4">
    <w:name w:val="annotation text"/>
    <w:basedOn w:val="1"/>
    <w:link w:val="18"/>
    <w:uiPriority w:val="0"/>
    <w:pPr>
      <w:jc w:val="left"/>
    </w:pPr>
  </w:style>
  <w:style w:type="paragraph" w:styleId="5">
    <w:name w:val="Document Map"/>
    <w:basedOn w:val="1"/>
    <w:link w:val="17"/>
    <w:uiPriority w:val="0"/>
    <w:rPr>
      <w:rFonts w:ascii="宋体"/>
      <w:sz w:val="18"/>
      <w:szCs w:val="18"/>
    </w:rPr>
  </w:style>
  <w:style w:type="paragraph" w:styleId="6">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7">
    <w:name w:val="Plain Text"/>
    <w:basedOn w:val="1"/>
    <w:uiPriority w:val="0"/>
    <w:pPr>
      <w:widowControl/>
      <w:spacing w:before="100" w:beforeAutospacing="1" w:after="100" w:afterAutospacing="1"/>
      <w:jc w:val="left"/>
    </w:pPr>
    <w:rPr>
      <w:rFonts w:ascii="宋体" w:hAnsi="宋体" w:cs="宋体"/>
      <w:kern w:val="0"/>
      <w:sz w:val="24"/>
    </w:rPr>
  </w:style>
  <w:style w:type="paragraph" w:styleId="8">
    <w:name w:val="Balloon Text"/>
    <w:basedOn w:val="1"/>
    <w:link w:val="20"/>
    <w:uiPriority w:val="0"/>
    <w:rPr>
      <w:sz w:val="18"/>
      <w:szCs w:val="18"/>
    </w:rPr>
  </w:style>
  <w:style w:type="paragraph" w:styleId="9">
    <w:name w:val="footer"/>
    <w:basedOn w:val="1"/>
    <w:link w:val="15"/>
    <w:uiPriority w:val="0"/>
    <w:pPr>
      <w:tabs>
        <w:tab w:val="center" w:pos="4153"/>
        <w:tab w:val="right" w:pos="8306"/>
      </w:tabs>
      <w:snapToGrid w:val="0"/>
      <w:jc w:val="left"/>
    </w:pPr>
    <w:rPr>
      <w:sz w:val="18"/>
      <w:szCs w:val="18"/>
    </w:rPr>
  </w:style>
  <w:style w:type="paragraph" w:styleId="10">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styleId="12">
    <w:name w:val="annotation reference"/>
    <w:uiPriority w:val="0"/>
    <w:rPr>
      <w:sz w:val="21"/>
      <w:szCs w:val="21"/>
    </w:rPr>
  </w:style>
  <w:style w:type="character" w:customStyle="1" w:styleId="14">
    <w:name w:val="页眉 Char"/>
    <w:link w:val="10"/>
    <w:uiPriority w:val="0"/>
    <w:rPr>
      <w:kern w:val="2"/>
      <w:sz w:val="18"/>
      <w:szCs w:val="18"/>
    </w:rPr>
  </w:style>
  <w:style w:type="character" w:customStyle="1" w:styleId="15">
    <w:name w:val="页脚 Char"/>
    <w:link w:val="9"/>
    <w:uiPriority w:val="0"/>
    <w:rPr>
      <w:kern w:val="2"/>
      <w:sz w:val="18"/>
      <w:szCs w:val="18"/>
    </w:rPr>
  </w:style>
  <w:style w:type="character" w:customStyle="1" w:styleId="16">
    <w:name w:val="标题 2 Char"/>
    <w:link w:val="2"/>
    <w:uiPriority w:val="0"/>
    <w:rPr>
      <w:rFonts w:ascii="Arial" w:hAnsi="Arial" w:eastAsia="黑体"/>
      <w:b/>
      <w:bCs/>
      <w:kern w:val="2"/>
      <w:sz w:val="32"/>
      <w:szCs w:val="32"/>
    </w:rPr>
  </w:style>
  <w:style w:type="character" w:customStyle="1" w:styleId="17">
    <w:name w:val="文档结构图 Char"/>
    <w:link w:val="5"/>
    <w:uiPriority w:val="0"/>
    <w:rPr>
      <w:rFonts w:ascii="宋体"/>
      <w:kern w:val="2"/>
      <w:sz w:val="18"/>
      <w:szCs w:val="18"/>
    </w:rPr>
  </w:style>
  <w:style w:type="character" w:customStyle="1" w:styleId="18">
    <w:name w:val="批注文字 Char"/>
    <w:link w:val="4"/>
    <w:uiPriority w:val="0"/>
    <w:rPr>
      <w:kern w:val="2"/>
      <w:sz w:val="21"/>
      <w:szCs w:val="24"/>
    </w:rPr>
  </w:style>
  <w:style w:type="character" w:customStyle="1" w:styleId="19">
    <w:name w:val="批注主题 Char"/>
    <w:link w:val="3"/>
    <w:uiPriority w:val="0"/>
    <w:rPr>
      <w:b/>
      <w:bCs/>
      <w:kern w:val="2"/>
      <w:sz w:val="21"/>
      <w:szCs w:val="24"/>
    </w:rPr>
  </w:style>
  <w:style w:type="character" w:customStyle="1" w:styleId="20">
    <w:name w:val="批注框文本 Char"/>
    <w:link w:val="8"/>
    <w:uiPriority w:val="0"/>
    <w:rPr>
      <w:kern w:val="2"/>
      <w:sz w:val="18"/>
      <w:szCs w:val="18"/>
    </w:rPr>
  </w:style>
  <w:style w:type="paragraph" w:customStyle="1" w:styleId="21">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398</Words>
  <Characters>2270</Characters>
  <Lines>18</Lines>
  <Paragraphs>5</Paragraphs>
  <TotalTime>0</TotalTime>
  <ScaleCrop>false</ScaleCrop>
  <LinksUpToDate>false</LinksUpToDate>
  <CharactersWithSpaces>2663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2016-10-08T03:22:00Z</dcterms:created>
  <dc:creator>lizhe</dc:creator>
  <cp:lastModifiedBy>gjy</cp:lastModifiedBy>
  <cp:lastPrinted>2016-09-30T06:39:00Z</cp:lastPrinted>
  <dcterms:modified xsi:type="dcterms:W3CDTF">2016-10-28T01:25:51Z</dcterms:modified>
  <dc:title>资产评估准则——评估报告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