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atLeast"/>
      </w:pPr>
    </w:p>
    <w:p>
      <w:pPr>
        <w:jc w:val="center"/>
        <w:rPr>
          <w:rFonts w:ascii="方正小标宋简体" w:eastAsia="方正小标宋简体"/>
          <w:sz w:val="44"/>
          <w:szCs w:val="44"/>
        </w:rPr>
      </w:pPr>
      <w:r>
        <w:rPr>
          <w:rFonts w:hint="eastAsia" w:ascii="方正小标宋简体" w:eastAsia="方正小标宋简体"/>
          <w:sz w:val="44"/>
          <w:szCs w:val="44"/>
        </w:rPr>
        <w:t>资产评估准则</w:t>
      </w:r>
      <w:r>
        <w:rPr>
          <w:rFonts w:hint="eastAsia" w:eastAsia="方正小标宋简体"/>
          <w:spacing w:val="-40"/>
          <w:sz w:val="44"/>
          <w:szCs w:val="44"/>
        </w:rPr>
        <w:t>—</w:t>
      </w:r>
      <w:r>
        <w:rPr>
          <w:rFonts w:hint="eastAsia" w:eastAsia="方正小标宋简体"/>
          <w:sz w:val="44"/>
          <w:szCs w:val="44"/>
        </w:rPr>
        <w:t>—</w:t>
      </w:r>
      <w:r>
        <w:rPr>
          <w:rFonts w:hint="eastAsia" w:ascii="方正小标宋简体" w:eastAsia="方正小标宋简体"/>
          <w:sz w:val="44"/>
          <w:szCs w:val="44"/>
        </w:rPr>
        <w:t>利用专家工作</w:t>
      </w:r>
    </w:p>
    <w:p>
      <w:pPr>
        <w:spacing w:beforeLines="50" w:line="360" w:lineRule="auto"/>
        <w:jc w:val="center"/>
        <w:rPr>
          <w:rFonts w:ascii="方正小标宋简体" w:eastAsia="方正小标宋简体"/>
          <w:szCs w:val="32"/>
        </w:rPr>
      </w:pPr>
      <w:r>
        <w:rPr>
          <w:rFonts w:hint="eastAsia" w:ascii="方正小标宋简体" w:eastAsia="方正小标宋简体"/>
          <w:szCs w:val="32"/>
        </w:rPr>
        <w:t>（修订征求意见稿）</w:t>
      </w:r>
    </w:p>
    <w:p>
      <w:pPr>
        <w:spacing w:before="300" w:after="300"/>
        <w:jc w:val="center"/>
        <w:rPr>
          <w:rFonts w:ascii="黑体" w:eastAsia="黑体"/>
        </w:rPr>
      </w:pPr>
      <w:r>
        <w:rPr>
          <w:rFonts w:hint="eastAsia" w:ascii="黑体" w:eastAsia="黑体"/>
        </w:rPr>
        <w:t>第</w:t>
      </w:r>
      <w:bookmarkStart w:id="0" w:name="_GoBack"/>
      <w:bookmarkEnd w:id="0"/>
      <w:r>
        <w:rPr>
          <w:rFonts w:hint="eastAsia" w:ascii="黑体" w:eastAsia="黑体"/>
        </w:rPr>
        <w:t>一章  总    则</w:t>
      </w:r>
    </w:p>
    <w:p>
      <w:pPr>
        <w:ind w:firstLine="627"/>
      </w:pPr>
      <w:r>
        <w:rPr>
          <w:rFonts w:hint="eastAsia"/>
          <w:spacing w:val="-6"/>
          <w:szCs w:val="32"/>
        </w:rPr>
        <w:t>第一条</w:t>
      </w:r>
      <w:r>
        <w:rPr>
          <w:spacing w:val="-6"/>
          <w:szCs w:val="32"/>
        </w:rPr>
        <w:t xml:space="preserve"> </w:t>
      </w:r>
      <w:r>
        <w:rPr>
          <w:rFonts w:hint="eastAsia"/>
          <w:spacing w:val="-6"/>
          <w:szCs w:val="32"/>
        </w:rPr>
        <w:t>为规范资产评估机构、资产评估师和其他资产评估专业人员利用专家工作行为，保护资产评估当事人的合法权益和公共利益，根据《资产评估准则——基本准则》，制定本准则。</w:t>
      </w:r>
    </w:p>
    <w:p>
      <w:pPr>
        <w:ind w:firstLine="627"/>
      </w:pPr>
      <w:r>
        <w:rPr>
          <w:rFonts w:hint="eastAsia"/>
        </w:rPr>
        <w:t>第二条</w:t>
      </w:r>
      <w:r>
        <w:t xml:space="preserve"> </w:t>
      </w:r>
      <w:r>
        <w:rPr>
          <w:rFonts w:hint="eastAsia"/>
        </w:rPr>
        <w:t>本准则所称利用专家工作，是指资产评估机构在执行资产评估业务过程中，聘请专家个人协助工作、利用专业报告和引用单项资产评估报告的行为。</w:t>
      </w:r>
    </w:p>
    <w:p>
      <w:pPr>
        <w:ind w:firstLine="627"/>
      </w:pPr>
      <w:r>
        <w:rPr>
          <w:rFonts w:hint="eastAsia"/>
        </w:rPr>
        <w:t>聘请专家个人协助工作，是指因涉及特殊专业知识和经验，聘请某一领域中具有专门知识、技能和经验的个人协助工作，作为资产评估专业支持。</w:t>
      </w:r>
    </w:p>
    <w:p>
      <w:pPr>
        <w:ind w:firstLine="627"/>
      </w:pPr>
      <w:r>
        <w:rPr>
          <w:rFonts w:hint="eastAsia"/>
        </w:rPr>
        <w:t>利用专业报告，是指因涉及特殊专业知识和经验，利用某一领域中具有专门资质或者相关经验的机构所出具的专业报告，作为资产评估依据。</w:t>
      </w:r>
    </w:p>
    <w:p>
      <w:pPr>
        <w:ind w:firstLine="627"/>
      </w:pPr>
      <w:r>
        <w:rPr>
          <w:rFonts w:hint="eastAsia"/>
        </w:rPr>
        <w:t>引用单项资产评估报告，是指根据法律法规、相关规定以及委托人的安排等要求，引用具有单项资产评估资质的评估机构出具的评估报告，作为资产评估报告的组成部分。</w:t>
      </w:r>
    </w:p>
    <w:p>
      <w:pPr>
        <w:ind w:firstLine="627"/>
      </w:pPr>
      <w:r>
        <w:rPr>
          <w:rFonts w:hint="eastAsia"/>
        </w:rPr>
        <w:t>第三条</w:t>
      </w:r>
      <w:r>
        <w:t xml:space="preserve"> </w:t>
      </w:r>
      <w:r>
        <w:rPr>
          <w:rFonts w:hint="eastAsia"/>
        </w:rPr>
        <w:t>执行资产评估业务中利用专家工作，应当遵守本准则。</w:t>
      </w:r>
    </w:p>
    <w:p>
      <w:pPr>
        <w:spacing w:before="200" w:after="300" w:line="900" w:lineRule="atLeast"/>
        <w:jc w:val="center"/>
        <w:rPr>
          <w:rFonts w:ascii="黑体" w:eastAsia="黑体"/>
        </w:rPr>
      </w:pPr>
      <w:r>
        <w:rPr>
          <w:rFonts w:hint="eastAsia" w:ascii="黑体" w:eastAsia="黑体"/>
        </w:rPr>
        <w:t>第二章  聘请专家个人协助工作</w:t>
      </w:r>
    </w:p>
    <w:p>
      <w:pPr>
        <w:ind w:firstLine="627"/>
      </w:pPr>
      <w:r>
        <w:rPr>
          <w:rFonts w:hint="eastAsia"/>
        </w:rPr>
        <w:t>第四条</w:t>
      </w:r>
      <w:r>
        <w:t xml:space="preserve"> </w:t>
      </w:r>
      <w:r>
        <w:rPr>
          <w:rFonts w:hint="eastAsia"/>
        </w:rPr>
        <w:t>资产评估</w:t>
      </w:r>
      <w:r>
        <w:t>机构</w:t>
      </w:r>
      <w:r>
        <w:rPr>
          <w:rFonts w:hint="eastAsia"/>
        </w:rPr>
        <w:t>执行资产评估业务，需要特殊专业知识和经验的专家个人提供协助时，可以聘请其协助工作。</w:t>
      </w:r>
    </w:p>
    <w:p>
      <w:pPr>
        <w:ind w:firstLine="627"/>
      </w:pPr>
      <w:r>
        <w:rPr>
          <w:rFonts w:hint="eastAsia"/>
        </w:rPr>
        <w:t>第五条</w:t>
      </w:r>
      <w:r>
        <w:t xml:space="preserve"> </w:t>
      </w:r>
      <w:r>
        <w:rPr>
          <w:rFonts w:hint="eastAsia"/>
        </w:rPr>
        <w:t>资产评估</w:t>
      </w:r>
      <w:r>
        <w:t>机构</w:t>
      </w:r>
      <w:r>
        <w:rPr>
          <w:rFonts w:hint="eastAsia"/>
        </w:rPr>
        <w:t>聘请相关专家协助工作的内容通常包括：</w:t>
      </w:r>
    </w:p>
    <w:p>
      <w:pPr>
        <w:ind w:firstLine="627"/>
      </w:pPr>
      <w:r>
        <w:rPr>
          <w:rFonts w:hint="eastAsia"/>
        </w:rPr>
        <w:t>（一）对资产性能、先进性等的专业判断；</w:t>
      </w:r>
    </w:p>
    <w:p>
      <w:pPr>
        <w:ind w:firstLine="627"/>
      </w:pPr>
      <w:r>
        <w:rPr>
          <w:rFonts w:hint="eastAsia"/>
        </w:rPr>
        <w:t>（二）对特殊资产实物状况、技术状况和使用状况的判断；</w:t>
      </w:r>
    </w:p>
    <w:p>
      <w:pPr>
        <w:ind w:firstLine="627"/>
      </w:pPr>
      <w:r>
        <w:rPr>
          <w:rFonts w:hint="eastAsia"/>
        </w:rPr>
        <w:t>（三）对特殊行业企业运营、市场状况等的判断。</w:t>
      </w:r>
    </w:p>
    <w:p>
      <w:pPr>
        <w:ind w:firstLine="627"/>
      </w:pPr>
      <w:r>
        <w:rPr>
          <w:rFonts w:hint="eastAsia"/>
        </w:rPr>
        <w:t>第六条</w:t>
      </w:r>
      <w:r>
        <w:t xml:space="preserve"> </w:t>
      </w:r>
      <w:r>
        <w:rPr>
          <w:rFonts w:hint="eastAsia"/>
        </w:rPr>
        <w:t>资产评估机构在聘请专家时，应当：</w:t>
      </w:r>
    </w:p>
    <w:p>
      <w:pPr>
        <w:ind w:firstLine="627"/>
      </w:pPr>
      <w:r>
        <w:rPr>
          <w:rFonts w:hint="eastAsia"/>
        </w:rPr>
        <w:t>（一）综合考虑拟聘专家的专业特长、职称、专业资格、声望等因素，综合分析评判专家的专业胜任能力；</w:t>
      </w:r>
    </w:p>
    <w:p>
      <w:pPr>
        <w:ind w:firstLine="627"/>
      </w:pPr>
      <w:r>
        <w:rPr>
          <w:rFonts w:hint="eastAsia"/>
        </w:rPr>
        <w:t>（二）关注专家的独立性。</w:t>
      </w:r>
    </w:p>
    <w:p>
      <w:pPr>
        <w:ind w:firstLine="627"/>
      </w:pPr>
      <w:r>
        <w:rPr>
          <w:rFonts w:hint="eastAsia"/>
        </w:rPr>
        <w:t>通常，专家受雇于委托人或者相关当事人，与委托人或者相关当事人存在关联关系，专家工作的独立性可能受到影响。</w:t>
      </w:r>
    </w:p>
    <w:p>
      <w:pPr>
        <w:ind w:firstLine="627"/>
      </w:pPr>
      <w:r>
        <w:rPr>
          <w:rFonts w:hint="eastAsia"/>
        </w:rPr>
        <w:t>第七条 资产评估机构聘请相关专家协助工作，必要时应当征得委托人同意，并由评估机构与专家明确下列基本事项：</w:t>
      </w:r>
    </w:p>
    <w:p>
      <w:pPr>
        <w:ind w:firstLine="627"/>
      </w:pPr>
      <w:r>
        <w:rPr>
          <w:rFonts w:hint="eastAsia"/>
        </w:rPr>
        <w:t>（一）工作的目标、范围和成果；</w:t>
      </w:r>
    </w:p>
    <w:p>
      <w:pPr>
        <w:ind w:firstLine="627"/>
      </w:pPr>
      <w:r>
        <w:rPr>
          <w:rFonts w:hint="eastAsia"/>
        </w:rPr>
        <w:t>（二）工作成果的归属及预定用途；</w:t>
      </w:r>
    </w:p>
    <w:p>
      <w:pPr>
        <w:ind w:firstLine="627"/>
      </w:pPr>
      <w:r>
        <w:rPr>
          <w:rFonts w:hint="eastAsia"/>
        </w:rPr>
        <w:t>（三）对信息保密的要求。</w:t>
      </w:r>
    </w:p>
    <w:p>
      <w:pPr>
        <w:ind w:firstLine="627"/>
      </w:pPr>
      <w:r>
        <w:rPr>
          <w:rFonts w:hint="eastAsia"/>
        </w:rPr>
        <w:t>第八条 资产评估机构聘请专家协助工作时，应当向专家介绍资产评估相关规定和评估业务相关情况，提出具体工作要求。</w:t>
      </w:r>
    </w:p>
    <w:p>
      <w:pPr>
        <w:spacing w:before="300" w:after="300"/>
        <w:jc w:val="center"/>
        <w:rPr>
          <w:rFonts w:ascii="黑体" w:eastAsia="黑体"/>
        </w:rPr>
      </w:pPr>
      <w:r>
        <w:rPr>
          <w:rFonts w:hint="eastAsia" w:ascii="黑体" w:eastAsia="黑体"/>
        </w:rPr>
        <w:t>第三章  利用专业报告</w:t>
      </w:r>
    </w:p>
    <w:p>
      <w:pPr>
        <w:ind w:firstLine="627"/>
      </w:pPr>
      <w:r>
        <w:rPr>
          <w:rFonts w:hint="eastAsia"/>
        </w:rPr>
        <w:t>第九条</w:t>
      </w:r>
      <w:r>
        <w:t xml:space="preserve"> </w:t>
      </w:r>
      <w:r>
        <w:rPr>
          <w:rFonts w:hint="eastAsia"/>
        </w:rPr>
        <w:t>执行资产评估业务，涉及特殊专业知识和经验时，可以利用专业机构出具的专业报告，作为评估依据。</w:t>
      </w:r>
    </w:p>
    <w:p>
      <w:pPr>
        <w:ind w:firstLine="627"/>
      </w:pPr>
      <w:r>
        <w:rPr>
          <w:rFonts w:hint="eastAsia"/>
        </w:rPr>
        <w:t>第十条</w:t>
      </w:r>
      <w:r>
        <w:t xml:space="preserve"> </w:t>
      </w:r>
      <w:r>
        <w:rPr>
          <w:rFonts w:hint="eastAsia"/>
        </w:rPr>
        <w:t>资产评估师和其他资产评估专业人员获取专业报告的途径通常包括：</w:t>
      </w:r>
    </w:p>
    <w:p>
      <w:pPr>
        <w:ind w:firstLine="627"/>
      </w:pPr>
      <w:r>
        <w:rPr>
          <w:rFonts w:hint="eastAsia"/>
        </w:rPr>
        <w:t>（一）公开途径获得的相关专业报告；</w:t>
      </w:r>
    </w:p>
    <w:p>
      <w:pPr>
        <w:ind w:firstLine="627"/>
      </w:pPr>
      <w:r>
        <w:rPr>
          <w:rFonts w:hint="eastAsia"/>
        </w:rPr>
        <w:t>（二）专门聘请专业机构完成相关工作，并出具的相应专业报告；</w:t>
      </w:r>
    </w:p>
    <w:p>
      <w:pPr>
        <w:ind w:firstLine="627"/>
      </w:pPr>
      <w:r>
        <w:rPr>
          <w:rFonts w:hint="eastAsia"/>
        </w:rPr>
        <w:t>（三）其他合法途径获得的相关专业报告。</w:t>
      </w:r>
    </w:p>
    <w:p>
      <w:pPr>
        <w:ind w:firstLine="627"/>
      </w:pPr>
      <w:r>
        <w:rPr>
          <w:rFonts w:hint="eastAsia"/>
        </w:rPr>
        <w:t>第十一条</w:t>
      </w:r>
      <w:r>
        <w:t xml:space="preserve"> </w:t>
      </w:r>
      <w:r>
        <w:rPr>
          <w:rFonts w:hint="eastAsia"/>
        </w:rPr>
        <w:t>资产评估师和其他资产评估专业人员利用的专业报告类型通常包括：</w:t>
      </w:r>
    </w:p>
    <w:p>
      <w:pPr>
        <w:ind w:firstLine="627"/>
      </w:pPr>
      <w:r>
        <w:rPr>
          <w:rFonts w:hint="eastAsia"/>
        </w:rPr>
        <w:t>（一）对资产数量和实物状况的测定报告；</w:t>
      </w:r>
    </w:p>
    <w:p>
      <w:pPr>
        <w:ind w:firstLine="627"/>
      </w:pPr>
      <w:r>
        <w:rPr>
          <w:rFonts w:hint="eastAsia"/>
        </w:rPr>
        <w:t>（二）需用特殊技术或者方法的相关测算报告；</w:t>
      </w:r>
    </w:p>
    <w:p>
      <w:pPr>
        <w:ind w:firstLine="627"/>
      </w:pPr>
      <w:r>
        <w:rPr>
          <w:rFonts w:hint="eastAsia"/>
        </w:rPr>
        <w:t>（三）特殊资产清查，必要的技术鉴定或者检测报告；</w:t>
      </w:r>
    </w:p>
    <w:p>
      <w:pPr>
        <w:ind w:firstLine="627"/>
      </w:pPr>
      <w:r>
        <w:rPr>
          <w:rFonts w:hint="eastAsia"/>
        </w:rPr>
        <w:t>（四）相关行业或者业务的分析判断报告；</w:t>
      </w:r>
    </w:p>
    <w:p>
      <w:pPr>
        <w:ind w:firstLine="627"/>
      </w:pPr>
      <w:r>
        <w:rPr>
          <w:rFonts w:hint="eastAsia"/>
        </w:rPr>
        <w:t>（五）审计报告；</w:t>
      </w:r>
    </w:p>
    <w:p>
      <w:pPr>
        <w:ind w:firstLine="627"/>
      </w:pPr>
      <w:r>
        <w:rPr>
          <w:rFonts w:hint="eastAsia"/>
        </w:rPr>
        <w:t>（六）针对预测性财务信息的审核报告；</w:t>
      </w:r>
    </w:p>
    <w:p>
      <w:pPr>
        <w:ind w:firstLine="627"/>
      </w:pPr>
      <w:r>
        <w:rPr>
          <w:rFonts w:hint="eastAsia"/>
        </w:rPr>
        <w:t>（七）对资产权属、相关文件和合同等的法律意见。</w:t>
      </w:r>
    </w:p>
    <w:p>
      <w:pPr>
        <w:ind w:firstLine="627"/>
      </w:pPr>
      <w:r>
        <w:rPr>
          <w:rFonts w:hint="eastAsia"/>
        </w:rPr>
        <w:t>（八</w:t>
      </w:r>
      <w:r>
        <w:t>）</w:t>
      </w:r>
      <w:r>
        <w:rPr>
          <w:rFonts w:hint="eastAsia"/>
        </w:rPr>
        <w:t>评估</w:t>
      </w:r>
      <w:r>
        <w:t>过程中可能利用的</w:t>
      </w:r>
      <w:r>
        <w:rPr>
          <w:rFonts w:hint="eastAsia"/>
        </w:rPr>
        <w:t>其他专业</w:t>
      </w:r>
      <w:r>
        <w:t>资料</w:t>
      </w:r>
      <w:r>
        <w:rPr>
          <w:rFonts w:hint="eastAsia"/>
        </w:rPr>
        <w:t>。</w:t>
      </w:r>
    </w:p>
    <w:p>
      <w:pPr>
        <w:ind w:firstLine="627"/>
      </w:pPr>
      <w:r>
        <w:rPr>
          <w:rFonts w:hint="eastAsia"/>
        </w:rPr>
        <w:t>第十二条</w:t>
      </w:r>
      <w:r>
        <w:t xml:space="preserve"> </w:t>
      </w:r>
      <w:r>
        <w:rPr>
          <w:rFonts w:hint="eastAsia"/>
        </w:rPr>
        <w:t>资产评估机构聘请专业机构出具专业报告时，应当：</w:t>
      </w:r>
    </w:p>
    <w:p>
      <w:pPr>
        <w:ind w:firstLine="627"/>
      </w:pPr>
      <w:r>
        <w:rPr>
          <w:rFonts w:hint="eastAsia"/>
        </w:rPr>
        <w:t>（一）综合考虑专业机构的业务范围、执业资质、业绩、地位等因素，综合判断其专业报告作为评估依据的可靠性；</w:t>
      </w:r>
    </w:p>
    <w:p>
      <w:pPr>
        <w:ind w:firstLine="627"/>
      </w:pPr>
      <w:r>
        <w:rPr>
          <w:rFonts w:hint="eastAsia"/>
        </w:rPr>
        <w:t>（二）关注专业机构的独立性。</w:t>
      </w:r>
    </w:p>
    <w:p>
      <w:pPr>
        <w:ind w:firstLine="627"/>
      </w:pPr>
      <w:r>
        <w:rPr>
          <w:rFonts w:hint="eastAsia"/>
        </w:rPr>
        <w:t>第十三条</w:t>
      </w:r>
      <w:r>
        <w:t xml:space="preserve"> </w:t>
      </w:r>
      <w:r>
        <w:rPr>
          <w:rFonts w:hint="eastAsia"/>
        </w:rPr>
        <w:t>资产评估机构聘请专业机构出具专业报告，必要时应当征得委托人同意，应当由评估机构与专业机构签署约定文件，明确下列基本事项：</w:t>
      </w:r>
    </w:p>
    <w:p>
      <w:pPr>
        <w:ind w:firstLine="627"/>
      </w:pPr>
      <w:r>
        <w:rPr>
          <w:rFonts w:hint="eastAsia"/>
        </w:rPr>
        <w:t>（一）工作的目标、范围和成果；</w:t>
      </w:r>
    </w:p>
    <w:p>
      <w:pPr>
        <w:ind w:firstLine="627"/>
      </w:pPr>
      <w:r>
        <w:rPr>
          <w:rFonts w:hint="eastAsia"/>
        </w:rPr>
        <w:t>（二）工作成果的归属及预定用途；</w:t>
      </w:r>
    </w:p>
    <w:p>
      <w:pPr>
        <w:ind w:firstLine="627"/>
      </w:pPr>
      <w:r>
        <w:rPr>
          <w:rFonts w:hint="eastAsia"/>
        </w:rPr>
        <w:t>（三）对信息保密的要求。</w:t>
      </w:r>
    </w:p>
    <w:p>
      <w:pPr>
        <w:ind w:firstLine="627"/>
      </w:pPr>
      <w:r>
        <w:rPr>
          <w:rFonts w:hint="eastAsia"/>
          <w:color w:val="000000"/>
        </w:rPr>
        <w:t>第十四条</w:t>
      </w:r>
      <w:r>
        <w:rPr>
          <w:color w:val="000000"/>
        </w:rPr>
        <w:t xml:space="preserve"> </w:t>
      </w:r>
      <w:r>
        <w:rPr>
          <w:rFonts w:hint="eastAsia"/>
        </w:rPr>
        <w:t>资产评估师和其他资产评估专业人员可以要求委托人聘请专业机构出具专业报告，并要求所出具的专业报告满足评估业务的需要。</w:t>
      </w:r>
    </w:p>
    <w:p>
      <w:pPr>
        <w:ind w:firstLine="627"/>
      </w:pPr>
      <w:r>
        <w:rPr>
          <w:rFonts w:hint="eastAsia"/>
        </w:rPr>
        <w:t>第十五条</w:t>
      </w:r>
      <w:r>
        <w:t xml:space="preserve"> </w:t>
      </w:r>
      <w:r>
        <w:rPr>
          <w:rFonts w:hint="eastAsia"/>
        </w:rPr>
        <w:t>资产评估师和其他资产评估专业人员利用专业机构出具的专业报告，应当关注其披露的、对专业报告结论存在重大影响的事项。</w:t>
      </w:r>
    </w:p>
    <w:p>
      <w:pPr>
        <w:ind w:firstLine="627"/>
      </w:pPr>
      <w:r>
        <w:rPr>
          <w:rFonts w:hint="eastAsia"/>
        </w:rPr>
        <w:t>第十六条</w:t>
      </w:r>
      <w:r>
        <w:t xml:space="preserve"> </w:t>
      </w:r>
      <w:r>
        <w:rPr>
          <w:rFonts w:hint="eastAsia"/>
        </w:rPr>
        <w:t>资产评估师和其他资产评估专业人员</w:t>
      </w:r>
      <w:r>
        <w:rPr>
          <w:rFonts w:hint="eastAsia" w:cs="仿宋_GB2312"/>
        </w:rPr>
        <w:t>应当将利用的专业报告作为工作底稿，必要时作为评估报告附件。</w:t>
      </w:r>
    </w:p>
    <w:p>
      <w:pPr>
        <w:spacing w:before="300" w:after="300"/>
        <w:jc w:val="center"/>
        <w:rPr>
          <w:rFonts w:ascii="黑体" w:eastAsia="黑体"/>
        </w:rPr>
      </w:pPr>
      <w:r>
        <w:rPr>
          <w:rFonts w:hint="eastAsia" w:ascii="黑体" w:eastAsia="黑体"/>
        </w:rPr>
        <w:t>第四章  引用单项资产评估报告</w:t>
      </w:r>
    </w:p>
    <w:p>
      <w:pPr>
        <w:ind w:firstLine="627"/>
        <w:rPr>
          <w:spacing w:val="4"/>
          <w:szCs w:val="32"/>
        </w:rPr>
      </w:pPr>
      <w:r>
        <w:rPr>
          <w:rFonts w:hint="eastAsia"/>
          <w:spacing w:val="4"/>
          <w:szCs w:val="32"/>
        </w:rPr>
        <w:t>第十七条</w:t>
      </w:r>
      <w:r>
        <w:rPr>
          <w:spacing w:val="4"/>
          <w:szCs w:val="32"/>
        </w:rPr>
        <w:t xml:space="preserve"> </w:t>
      </w:r>
      <w:r>
        <w:rPr>
          <w:rFonts w:hint="eastAsia"/>
          <w:spacing w:val="4"/>
          <w:szCs w:val="32"/>
        </w:rPr>
        <w:t>资产评估师和其他资产评估专业人员应当根据法律法规、相关规定以及委托人的安排等要求，确定是否引用以及如何引用相关单项资产评估报告。引用单项资产评估报告应当与委托人事先约定。</w:t>
      </w:r>
    </w:p>
    <w:p>
      <w:pPr>
        <w:ind w:firstLine="627"/>
      </w:pPr>
      <w:r>
        <w:rPr>
          <w:rFonts w:hint="eastAsia"/>
        </w:rPr>
        <w:t>第十八条</w:t>
      </w:r>
      <w:r>
        <w:t xml:space="preserve"> </w:t>
      </w:r>
      <w:r>
        <w:rPr>
          <w:rFonts w:hint="eastAsia"/>
        </w:rPr>
        <w:t>资产评估师和其他资产评估专业人员应当关注拟引用单项资产评估报告的性质、评估目的、评估基准日、评估对象、</w:t>
      </w:r>
      <w:r>
        <w:t>评估依据</w:t>
      </w:r>
      <w:r>
        <w:rPr>
          <w:rFonts w:hint="eastAsia"/>
        </w:rPr>
        <w:t>、</w:t>
      </w:r>
      <w:r>
        <w:t>参数选取、</w:t>
      </w:r>
      <w:r>
        <w:rPr>
          <w:rFonts w:hint="eastAsia"/>
        </w:rPr>
        <w:t>假设</w:t>
      </w:r>
      <w:r>
        <w:t>前提</w:t>
      </w:r>
      <w:r>
        <w:rPr>
          <w:rFonts w:hint="eastAsia"/>
        </w:rPr>
        <w:t>、</w:t>
      </w:r>
      <w:r>
        <w:t>使用限制</w:t>
      </w:r>
      <w:r>
        <w:rPr>
          <w:rFonts w:hint="eastAsia"/>
        </w:rPr>
        <w:t>等是否满足资产评估报告的引用要求；不满足的，不得引用。</w:t>
      </w:r>
    </w:p>
    <w:p>
      <w:pPr>
        <w:ind w:firstLine="627"/>
      </w:pPr>
      <w:r>
        <w:rPr>
          <w:rFonts w:hint="eastAsia"/>
        </w:rPr>
        <w:t>第十九条</w:t>
      </w:r>
      <w:r>
        <w:t xml:space="preserve"> </w:t>
      </w:r>
      <w:r>
        <w:rPr>
          <w:rFonts w:hint="eastAsia"/>
        </w:rPr>
        <w:t>资产评估师和其他资产评估专业人员应当分析拟引用单项资产评估报告载明的评估结论，判断其对应的资产类型与资产评估资产类型的一致性；分析是否存在相关负债，并予以恰当处理。</w:t>
      </w:r>
    </w:p>
    <w:p>
      <w:pPr>
        <w:ind w:firstLine="627"/>
        <w:rPr>
          <w:spacing w:val="-4"/>
          <w:szCs w:val="32"/>
        </w:rPr>
      </w:pPr>
      <w:r>
        <w:rPr>
          <w:rFonts w:hint="eastAsia"/>
          <w:spacing w:val="-4"/>
          <w:szCs w:val="32"/>
        </w:rPr>
        <w:t>对于账面无记录的单项资产，应当考虑引用或者确认的资产类型是否符合相关规定；分析是否存在相关负债，并予以恰当处理。</w:t>
      </w:r>
    </w:p>
    <w:p>
      <w:pPr>
        <w:ind w:firstLine="627"/>
      </w:pPr>
      <w:r>
        <w:rPr>
          <w:rFonts w:hint="eastAsia"/>
        </w:rPr>
        <w:t>第二十条</w:t>
      </w:r>
      <w:r>
        <w:t xml:space="preserve"> </w:t>
      </w:r>
      <w:r>
        <w:rPr>
          <w:rFonts w:hint="eastAsia"/>
        </w:rPr>
        <w:t>资产评估师和其他资产评估专业人员应当关注拟引用单项资产评估报告的相关备案审核文件资料。</w:t>
      </w:r>
    </w:p>
    <w:p>
      <w:pPr>
        <w:ind w:firstLine="627"/>
      </w:pPr>
      <w:r>
        <w:rPr>
          <w:rFonts w:hint="eastAsia"/>
        </w:rPr>
        <w:t>第二十一条 资产评估师和其他资产评估专业人员应当对所引用单项资产评估报告的评估结论与账面价值的变动情况进行客观分析，不得发表超出自身执业能力和范围的评论意见。</w:t>
      </w:r>
    </w:p>
    <w:p>
      <w:pPr>
        <w:ind w:firstLine="627"/>
      </w:pPr>
      <w:r>
        <w:rPr>
          <w:rFonts w:hint="eastAsia"/>
        </w:rPr>
        <w:t>第二十二条</w:t>
      </w:r>
      <w:r>
        <w:t xml:space="preserve"> </w:t>
      </w:r>
      <w:r>
        <w:rPr>
          <w:rFonts w:hint="eastAsia"/>
        </w:rPr>
        <w:t>资产评估师和其他资产评估专业人员应当关注所引用单项资产评估报告披露的特殊事项说明，判断其是否可以引用及其对资产评估结果的影响。</w:t>
      </w:r>
    </w:p>
    <w:p>
      <w:pPr>
        <w:ind w:firstLine="627"/>
      </w:pPr>
      <w:r>
        <w:rPr>
          <w:rFonts w:hint="eastAsia"/>
        </w:rPr>
        <w:t>第二十三条 资产评估师和其他资产评估专业人员应当将所引用单项资产评估报告作为工作底稿。</w:t>
      </w:r>
    </w:p>
    <w:p>
      <w:pPr>
        <w:spacing w:before="300" w:after="300"/>
        <w:jc w:val="center"/>
        <w:rPr>
          <w:rFonts w:ascii="黑体" w:eastAsia="黑体"/>
        </w:rPr>
      </w:pPr>
      <w:r>
        <w:rPr>
          <w:rFonts w:hint="eastAsia" w:ascii="黑体" w:eastAsia="黑体"/>
        </w:rPr>
        <w:t>第五章  披露要求</w:t>
      </w:r>
    </w:p>
    <w:p>
      <w:pPr>
        <w:ind w:firstLine="627"/>
      </w:pPr>
      <w:r>
        <w:rPr>
          <w:rFonts w:hint="eastAsia"/>
        </w:rPr>
        <w:t>第二十四条</w:t>
      </w:r>
      <w:r>
        <w:t xml:space="preserve"> </w:t>
      </w:r>
      <w:r>
        <w:rPr>
          <w:rFonts w:hint="eastAsia"/>
        </w:rPr>
        <w:t>资产评估师和其他资产评估专业人员利用相关专业机构出具的专业报告作为评估依据，应当在评估报告中披露以下内容：</w:t>
      </w:r>
    </w:p>
    <w:p>
      <w:pPr>
        <w:ind w:firstLine="627"/>
      </w:pPr>
      <w:r>
        <w:rPr>
          <w:rFonts w:hint="eastAsia"/>
        </w:rPr>
        <w:t>（一）专业机构名称、报告</w:t>
      </w:r>
      <w:r>
        <w:t>名称、</w:t>
      </w:r>
      <w:r>
        <w:rPr>
          <w:rFonts w:hint="eastAsia"/>
        </w:rPr>
        <w:t>报告编号以及出具日期；</w:t>
      </w:r>
    </w:p>
    <w:p>
      <w:pPr>
        <w:ind w:firstLine="627"/>
      </w:pPr>
      <w:r>
        <w:rPr>
          <w:rFonts w:hint="eastAsia"/>
        </w:rPr>
        <w:t>（二）专业报告结论及其相关补充性或者解释性说明；</w:t>
      </w:r>
    </w:p>
    <w:p>
      <w:pPr>
        <w:ind w:firstLine="627"/>
      </w:pPr>
      <w:r>
        <w:rPr>
          <w:rFonts w:hint="eastAsia"/>
        </w:rPr>
        <w:t>（三）其他需要披露的重要情况。</w:t>
      </w:r>
    </w:p>
    <w:p>
      <w:pPr>
        <w:ind w:firstLine="627"/>
      </w:pPr>
      <w:r>
        <w:rPr>
          <w:rFonts w:hint="eastAsia"/>
        </w:rPr>
        <w:t>第二十五条</w:t>
      </w:r>
      <w:r>
        <w:t xml:space="preserve"> </w:t>
      </w:r>
      <w:r>
        <w:rPr>
          <w:rFonts w:hint="eastAsia"/>
        </w:rPr>
        <w:t>资产评估师和其他资产评估专业人员引用单项资产评估报告作为资产评估报告的组成部分，应当在评估报告中披露以下内容：</w:t>
      </w:r>
    </w:p>
    <w:p>
      <w:pPr>
        <w:ind w:firstLine="627"/>
        <w:rPr>
          <w:rFonts w:cs="仿宋_GB2312"/>
        </w:rPr>
      </w:pPr>
      <w:r>
        <w:rPr>
          <w:rFonts w:hint="eastAsia" w:cs="仿宋_GB2312"/>
        </w:rPr>
        <w:t>（一）引用单项资产评估报告的评估机构名称、报告名称、报告编号、出具日期；</w:t>
      </w:r>
    </w:p>
    <w:p>
      <w:pPr>
        <w:ind w:firstLine="627"/>
        <w:rPr>
          <w:rFonts w:cs="仿宋_GB2312"/>
        </w:rPr>
      </w:pPr>
      <w:r>
        <w:rPr>
          <w:rFonts w:hint="eastAsia" w:cs="仿宋_GB2312"/>
        </w:rPr>
        <w:t>（二）引用单项资产评估报告的资产类型、数量、产权权属、评估</w:t>
      </w:r>
      <w:r>
        <w:rPr>
          <w:rFonts w:cs="仿宋_GB2312"/>
        </w:rPr>
        <w:t>结论</w:t>
      </w:r>
      <w:r>
        <w:rPr>
          <w:rFonts w:hint="eastAsia" w:cs="仿宋_GB2312"/>
        </w:rPr>
        <w:t>；</w:t>
      </w:r>
    </w:p>
    <w:p>
      <w:pPr>
        <w:ind w:firstLine="627"/>
        <w:rPr>
          <w:rFonts w:cs="仿宋_GB2312"/>
        </w:rPr>
      </w:pPr>
      <w:r>
        <w:rPr>
          <w:rFonts w:hint="eastAsia" w:cs="仿宋_GB2312"/>
        </w:rPr>
        <w:t>（三）其他需要披露的重要事项。</w:t>
      </w:r>
    </w:p>
    <w:p>
      <w:pPr>
        <w:spacing w:before="300" w:after="300"/>
        <w:jc w:val="center"/>
        <w:rPr>
          <w:rFonts w:ascii="黑体" w:eastAsia="黑体"/>
        </w:rPr>
      </w:pPr>
      <w:r>
        <w:rPr>
          <w:rFonts w:hint="eastAsia" w:ascii="黑体" w:eastAsia="黑体"/>
        </w:rPr>
        <w:t>第六章  附    则</w:t>
      </w:r>
    </w:p>
    <w:p>
      <w:pPr>
        <w:ind w:firstLine="627"/>
      </w:pPr>
      <w:r>
        <w:rPr>
          <w:rFonts w:hint="eastAsia"/>
        </w:rPr>
        <w:t>第二十六条</w:t>
      </w:r>
      <w:r>
        <w:t xml:space="preserve"> </w:t>
      </w:r>
      <w:r>
        <w:rPr>
          <w:rFonts w:hint="eastAsia"/>
        </w:rPr>
        <w:t>本准则自</w:t>
      </w:r>
      <w:r>
        <w:t>_</w:t>
      </w:r>
      <w:r>
        <w:rPr>
          <w:rFonts w:hint="eastAsia"/>
        </w:rPr>
        <w:t>年</w:t>
      </w:r>
      <w:r>
        <w:t>_</w:t>
      </w:r>
      <w:r>
        <w:rPr>
          <w:rFonts w:hint="eastAsia"/>
        </w:rPr>
        <w:t>月</w:t>
      </w:r>
      <w:r>
        <w:t>_</w:t>
      </w:r>
      <w:r>
        <w:rPr>
          <w:rFonts w:hint="eastAsia"/>
        </w:rPr>
        <w:t>日起施行。</w:t>
      </w:r>
    </w:p>
    <w:sectPr>
      <w:footerReference r:id="rId3" w:type="default"/>
      <w:footerReference r:id="rId4" w:type="even"/>
      <w:pgSz w:w="11906" w:h="16838"/>
      <w:pgMar w:top="1644" w:right="1418" w:bottom="1985" w:left="1542" w:header="851" w:footer="1134" w:gutter="0"/>
      <w:pgNumType w:start="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2053" w:wrap="notBeside" w:vAnchor="text" w:hAnchor="page" w:x="8440" w:y="-415"/>
      <w:spacing w:line="0" w:lineRule="atLeast"/>
      <w:ind w:right="345"/>
      <w:jc w:val="right"/>
      <w:rPr>
        <w:rStyle w:val="11"/>
        <w:sz w:val="28"/>
      </w:rPr>
    </w:pPr>
    <w:r>
      <w:rPr>
        <w:rStyle w:val="11"/>
        <w:rFonts w:hint="eastAsia" w:ascii="仿宋_GB2312"/>
        <w:sz w:val="28"/>
      </w:rPr>
      <w:t xml:space="preserve">— </w:t>
    </w:r>
    <w:r>
      <w:rPr>
        <w:rStyle w:val="11"/>
        <w:sz w:val="28"/>
      </w:rPr>
      <w:fldChar w:fldCharType="begin"/>
    </w:r>
    <w:r>
      <w:rPr>
        <w:rStyle w:val="11"/>
        <w:sz w:val="28"/>
      </w:rPr>
      <w:instrText xml:space="preserve">PAGE  </w:instrText>
    </w:r>
    <w:r>
      <w:rPr>
        <w:rStyle w:val="11"/>
        <w:sz w:val="28"/>
      </w:rPr>
      <w:fldChar w:fldCharType="separate"/>
    </w:r>
    <w:r>
      <w:rPr>
        <w:rStyle w:val="11"/>
        <w:sz w:val="28"/>
      </w:rPr>
      <w:t>3</w:t>
    </w:r>
    <w:r>
      <w:rPr>
        <w:rStyle w:val="11"/>
        <w:sz w:val="28"/>
      </w:rPr>
      <w:fldChar w:fldCharType="end"/>
    </w:r>
    <w:r>
      <w:rPr>
        <w:rStyle w:val="11"/>
        <w:rFonts w:hint="eastAsia"/>
        <w:sz w:val="28"/>
      </w:rPr>
      <w:t xml:space="preserve"> </w:t>
    </w:r>
    <w:r>
      <w:rPr>
        <w:rStyle w:val="11"/>
        <w:rFonts w:hint="eastAsia" w:ascii="仿宋_GB2312"/>
        <w:sz w:val="28"/>
      </w:rPr>
      <w:t>—</w:t>
    </w:r>
  </w:p>
  <w:p>
    <w:pPr>
      <w:pStyle w:val="8"/>
      <w:tabs>
        <w:tab w:val="clear" w:pos="8306"/>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1593" w:wrap="notBeside" w:vAnchor="text" w:hAnchor="page" w:x="1942" w:y="-415"/>
      <w:spacing w:line="240" w:lineRule="auto"/>
      <w:jc w:val="both"/>
      <w:rPr>
        <w:rStyle w:val="11"/>
        <w:sz w:val="28"/>
      </w:rPr>
    </w:pPr>
    <w:r>
      <w:rPr>
        <w:rStyle w:val="11"/>
        <w:rFonts w:hint="eastAsia" w:ascii="仿宋_GB2312"/>
        <w:sz w:val="28"/>
      </w:rPr>
      <w:t xml:space="preserve">— </w:t>
    </w:r>
    <w:r>
      <w:rPr>
        <w:rStyle w:val="11"/>
        <w:sz w:val="28"/>
      </w:rPr>
      <w:fldChar w:fldCharType="begin"/>
    </w:r>
    <w:r>
      <w:rPr>
        <w:rStyle w:val="11"/>
        <w:sz w:val="28"/>
      </w:rPr>
      <w:instrText xml:space="preserve">PAGE  </w:instrText>
    </w:r>
    <w:r>
      <w:rPr>
        <w:rStyle w:val="11"/>
        <w:sz w:val="28"/>
      </w:rPr>
      <w:fldChar w:fldCharType="separate"/>
    </w:r>
    <w:r>
      <w:rPr>
        <w:rStyle w:val="11"/>
        <w:sz w:val="28"/>
      </w:rPr>
      <w:t>8</w:t>
    </w:r>
    <w:r>
      <w:rPr>
        <w:rStyle w:val="11"/>
        <w:sz w:val="28"/>
      </w:rPr>
      <w:fldChar w:fldCharType="end"/>
    </w:r>
    <w:r>
      <w:rPr>
        <w:rStyle w:val="11"/>
        <w:rFonts w:hint="eastAsia"/>
        <w:sz w:val="28"/>
      </w:rPr>
      <w:t xml:space="preserve"> </w:t>
    </w:r>
    <w:r>
      <w:rPr>
        <w:rStyle w:val="11"/>
        <w:rFonts w:hint="eastAsia" w:ascii="仿宋_GB2312"/>
        <w:sz w:val="28"/>
      </w:rPr>
      <w:t>—</w:t>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57"/>
  <w:drawingGridVerticalSpacing w:val="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159C9"/>
    <w:rsid w:val="00004166"/>
    <w:rsid w:val="00051AFB"/>
    <w:rsid w:val="00052282"/>
    <w:rsid w:val="00086D83"/>
    <w:rsid w:val="000C4D73"/>
    <w:rsid w:val="00110A63"/>
    <w:rsid w:val="001277DE"/>
    <w:rsid w:val="001354F8"/>
    <w:rsid w:val="00161D97"/>
    <w:rsid w:val="001C3CBB"/>
    <w:rsid w:val="001F2BF7"/>
    <w:rsid w:val="00200855"/>
    <w:rsid w:val="00203192"/>
    <w:rsid w:val="002074A9"/>
    <w:rsid w:val="00230ED1"/>
    <w:rsid w:val="00262073"/>
    <w:rsid w:val="00271A46"/>
    <w:rsid w:val="00271F0A"/>
    <w:rsid w:val="002B59B5"/>
    <w:rsid w:val="002C281D"/>
    <w:rsid w:val="002E6A20"/>
    <w:rsid w:val="0030214E"/>
    <w:rsid w:val="00330C88"/>
    <w:rsid w:val="00382EA0"/>
    <w:rsid w:val="00397F8C"/>
    <w:rsid w:val="003D2612"/>
    <w:rsid w:val="003D4C65"/>
    <w:rsid w:val="003D52FA"/>
    <w:rsid w:val="004111FC"/>
    <w:rsid w:val="00425B8F"/>
    <w:rsid w:val="00475F69"/>
    <w:rsid w:val="004A3E2F"/>
    <w:rsid w:val="004C6D08"/>
    <w:rsid w:val="004D1640"/>
    <w:rsid w:val="004F3D80"/>
    <w:rsid w:val="0051758F"/>
    <w:rsid w:val="005349BF"/>
    <w:rsid w:val="00546D21"/>
    <w:rsid w:val="005713B6"/>
    <w:rsid w:val="005810C6"/>
    <w:rsid w:val="00581273"/>
    <w:rsid w:val="005A3E10"/>
    <w:rsid w:val="00601546"/>
    <w:rsid w:val="0065689C"/>
    <w:rsid w:val="00656B61"/>
    <w:rsid w:val="00675CEE"/>
    <w:rsid w:val="006967AA"/>
    <w:rsid w:val="006A6543"/>
    <w:rsid w:val="006B208C"/>
    <w:rsid w:val="006E5674"/>
    <w:rsid w:val="00715308"/>
    <w:rsid w:val="00716739"/>
    <w:rsid w:val="00725F66"/>
    <w:rsid w:val="007456C7"/>
    <w:rsid w:val="00780FCF"/>
    <w:rsid w:val="007A3808"/>
    <w:rsid w:val="007C7570"/>
    <w:rsid w:val="007E2745"/>
    <w:rsid w:val="007F0941"/>
    <w:rsid w:val="007F3F43"/>
    <w:rsid w:val="0086032B"/>
    <w:rsid w:val="00866369"/>
    <w:rsid w:val="00871898"/>
    <w:rsid w:val="00892B45"/>
    <w:rsid w:val="008C7D90"/>
    <w:rsid w:val="009559E0"/>
    <w:rsid w:val="009B38B1"/>
    <w:rsid w:val="009C1D53"/>
    <w:rsid w:val="009F0029"/>
    <w:rsid w:val="00AA4CCF"/>
    <w:rsid w:val="00AC4345"/>
    <w:rsid w:val="00AE2592"/>
    <w:rsid w:val="00AF64BC"/>
    <w:rsid w:val="00BD30CA"/>
    <w:rsid w:val="00BD5173"/>
    <w:rsid w:val="00BE4E48"/>
    <w:rsid w:val="00BF3F7B"/>
    <w:rsid w:val="00C0462C"/>
    <w:rsid w:val="00C0625B"/>
    <w:rsid w:val="00C1151A"/>
    <w:rsid w:val="00C325E5"/>
    <w:rsid w:val="00C56B12"/>
    <w:rsid w:val="00C76087"/>
    <w:rsid w:val="00CA408C"/>
    <w:rsid w:val="00CA67A4"/>
    <w:rsid w:val="00CB09BA"/>
    <w:rsid w:val="00CB7340"/>
    <w:rsid w:val="00CC17DD"/>
    <w:rsid w:val="00CC7ED7"/>
    <w:rsid w:val="00D77761"/>
    <w:rsid w:val="00D8272F"/>
    <w:rsid w:val="00D85512"/>
    <w:rsid w:val="00DA3476"/>
    <w:rsid w:val="00DB0E40"/>
    <w:rsid w:val="00DB7262"/>
    <w:rsid w:val="00DC3EF6"/>
    <w:rsid w:val="00DF2940"/>
    <w:rsid w:val="00DF349D"/>
    <w:rsid w:val="00E00512"/>
    <w:rsid w:val="00E159C9"/>
    <w:rsid w:val="00E262B6"/>
    <w:rsid w:val="00E72130"/>
    <w:rsid w:val="00E93BD9"/>
    <w:rsid w:val="00ED1FCC"/>
    <w:rsid w:val="00F43E12"/>
    <w:rsid w:val="00F44DDF"/>
    <w:rsid w:val="00FA4ADC"/>
    <w:rsid w:val="00FB6D2A"/>
    <w:rsid w:val="00FC54B3"/>
    <w:rsid w:val="00FD1B62"/>
    <w:rsid w:val="00FF1815"/>
    <w:rsid w:val="00FF761D"/>
    <w:rsid w:val="4398211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napToGrid w:val="0"/>
      <w:spacing w:line="588" w:lineRule="atLeast"/>
      <w:jc w:val="both"/>
    </w:pPr>
    <w:rPr>
      <w:rFonts w:ascii="宋体" w:hAnsi="宋体" w:eastAsia="仿宋_GB2312" w:cs="Times New Roman"/>
      <w:spacing w:val="-2"/>
      <w:kern w:val="2"/>
      <w:sz w:val="32"/>
      <w:szCs w:val="24"/>
      <w:lang w:val="en-US" w:eastAsia="zh-CN" w:bidi="ar-SA"/>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pPr>
      <w:jc w:val="left"/>
    </w:pPr>
  </w:style>
  <w:style w:type="paragraph" w:styleId="4">
    <w:name w:val="Body Text"/>
    <w:basedOn w:val="1"/>
    <w:semiHidden/>
    <w:qFormat/>
    <w:uiPriority w:val="0"/>
  </w:style>
  <w:style w:type="paragraph" w:styleId="5">
    <w:name w:val="Body Text Indent"/>
    <w:basedOn w:val="1"/>
    <w:semiHidden/>
    <w:qFormat/>
    <w:uiPriority w:val="0"/>
    <w:pPr>
      <w:ind w:left="1596" w:hanging="969"/>
    </w:pPr>
  </w:style>
  <w:style w:type="paragraph" w:styleId="6">
    <w:name w:val="Body Text Indent 2"/>
    <w:basedOn w:val="1"/>
    <w:semiHidden/>
    <w:qFormat/>
    <w:uiPriority w:val="0"/>
    <w:pPr>
      <w:autoSpaceDN/>
      <w:ind w:firstLine="640"/>
    </w:pPr>
    <w:rPr>
      <w:rFonts w:eastAsia="方正仿宋_GBK"/>
      <w:spacing w:val="6"/>
      <w:sz w:val="30"/>
    </w:rPr>
  </w:style>
  <w:style w:type="paragraph" w:styleId="7">
    <w:name w:val="Balloon Text"/>
    <w:basedOn w:val="1"/>
    <w:link w:val="14"/>
    <w:unhideWhenUsed/>
    <w:qFormat/>
    <w:uiPriority w:val="99"/>
    <w:pPr>
      <w:spacing w:line="240" w:lineRule="auto"/>
    </w:pPr>
    <w:rPr>
      <w:sz w:val="18"/>
      <w:szCs w:val="18"/>
    </w:rPr>
  </w:style>
  <w:style w:type="paragraph" w:styleId="8">
    <w:name w:val="footer"/>
    <w:basedOn w:val="1"/>
    <w:semiHidden/>
    <w:uiPriority w:val="0"/>
    <w:pPr>
      <w:tabs>
        <w:tab w:val="center" w:pos="4153"/>
        <w:tab w:val="right" w:pos="8306"/>
      </w:tabs>
      <w:jc w:val="left"/>
    </w:pPr>
    <w:rPr>
      <w:sz w:val="18"/>
      <w:szCs w:val="18"/>
    </w:rPr>
  </w:style>
  <w:style w:type="paragraph" w:styleId="9">
    <w:name w:val="header"/>
    <w:basedOn w:val="1"/>
    <w:semiHidden/>
    <w:qFormat/>
    <w:uiPriority w:val="0"/>
    <w:pPr>
      <w:pBdr>
        <w:bottom w:val="single" w:color="auto" w:sz="6" w:space="1"/>
      </w:pBdr>
      <w:tabs>
        <w:tab w:val="center" w:pos="4153"/>
        <w:tab w:val="right" w:pos="8306"/>
      </w:tabs>
      <w:jc w:val="center"/>
    </w:pPr>
    <w:rPr>
      <w:sz w:val="18"/>
      <w:szCs w:val="18"/>
    </w:rPr>
  </w:style>
  <w:style w:type="character" w:styleId="11">
    <w:name w:val="page number"/>
    <w:basedOn w:val="10"/>
    <w:semiHidden/>
    <w:uiPriority w:val="0"/>
  </w:style>
  <w:style w:type="character" w:styleId="12">
    <w:name w:val="annotation reference"/>
    <w:unhideWhenUsed/>
    <w:uiPriority w:val="99"/>
    <w:rPr>
      <w:sz w:val="21"/>
      <w:szCs w:val="21"/>
    </w:rPr>
  </w:style>
  <w:style w:type="character" w:customStyle="1" w:styleId="14">
    <w:name w:val="批注框文本 Char"/>
    <w:link w:val="7"/>
    <w:semiHidden/>
    <w:qFormat/>
    <w:uiPriority w:val="99"/>
    <w:rPr>
      <w:rFonts w:ascii="宋体" w:hAnsi="宋体" w:eastAsia="仿宋_GB2312"/>
      <w:spacing w:val="-2"/>
      <w:kern w:val="2"/>
      <w:sz w:val="18"/>
      <w:szCs w:val="18"/>
    </w:rPr>
  </w:style>
  <w:style w:type="character" w:customStyle="1" w:styleId="15">
    <w:name w:val="批注文字 Char"/>
    <w:link w:val="3"/>
    <w:semiHidden/>
    <w:qFormat/>
    <w:uiPriority w:val="99"/>
    <w:rPr>
      <w:rFonts w:ascii="宋体" w:hAnsi="宋体" w:eastAsia="仿宋_GB2312"/>
      <w:spacing w:val="-2"/>
      <w:kern w:val="2"/>
      <w:sz w:val="32"/>
      <w:szCs w:val="24"/>
    </w:rPr>
  </w:style>
  <w:style w:type="character" w:customStyle="1" w:styleId="16">
    <w:name w:val="批注主题 Char"/>
    <w:link w:val="2"/>
    <w:semiHidden/>
    <w:qFormat/>
    <w:uiPriority w:val="99"/>
    <w:rPr>
      <w:rFonts w:ascii="宋体" w:hAnsi="宋体" w:eastAsia="仿宋_GB2312"/>
      <w:b/>
      <w:bCs/>
      <w:spacing w:val="-2"/>
      <w:kern w:val="2"/>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9C38B-F0E9-4E8E-859C-D642DD92DC88}">
  <ds:schemaRefs/>
</ds:datastoreItem>
</file>

<file path=docProps/app.xml><?xml version="1.0" encoding="utf-8"?>
<Properties xmlns="http://schemas.openxmlformats.org/officeDocument/2006/extended-properties" xmlns:vt="http://schemas.openxmlformats.org/officeDocument/2006/docPropsVTypes">
  <Template>Normal</Template>
  <Company>czb</Company>
  <Pages>6</Pages>
  <Words>381</Words>
  <Characters>2172</Characters>
  <Lines>18</Lines>
  <Paragraphs>5</Paragraphs>
  <TotalTime>0</TotalTime>
  <ScaleCrop>false</ScaleCrop>
  <LinksUpToDate>false</LinksUpToDate>
  <CharactersWithSpaces>2548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2016-10-08T08:04:00Z</dcterms:created>
  <dc:creator>gao</dc:creator>
  <cp:lastModifiedBy>gjy</cp:lastModifiedBy>
  <cp:lastPrinted>2016-09-30T08:12:00Z</cp:lastPrinted>
  <dcterms:modified xsi:type="dcterms:W3CDTF">2016-10-28T01:46:36Z</dcterms:modified>
  <dc:title>金金金金金金金金金金金金金金金金金金金金金金金金金金金金金金金金金金金金金金金金金金金金金金金金金金金金金金金金金金金金金</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