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exact"/>
        <w:jc w:val="center"/>
        <w:rPr>
          <w:rFonts w:ascii="宋体" w:hAnsi="宋体"/>
          <w:b/>
          <w:color w:val="000000"/>
          <w:sz w:val="44"/>
          <w:szCs w:val="44"/>
        </w:rPr>
      </w:pPr>
      <w:r>
        <w:rPr>
          <w:rFonts w:hint="eastAsia" w:ascii="宋体" w:hAnsi="宋体"/>
          <w:b/>
          <w:color w:val="000000"/>
          <w:sz w:val="44"/>
          <w:szCs w:val="44"/>
        </w:rPr>
        <w:t>《资产评估准则——评估档案》（</w:t>
      </w:r>
      <w:r>
        <w:rPr>
          <w:rFonts w:hint="eastAsia" w:ascii="华文中宋" w:hAnsi="华文中宋" w:eastAsia="华文中宋"/>
          <w:b/>
          <w:color w:val="000000"/>
          <w:sz w:val="44"/>
          <w:szCs w:val="44"/>
        </w:rPr>
        <w:t>修订征求意见稿</w:t>
      </w:r>
      <w:r>
        <w:rPr>
          <w:rFonts w:hint="eastAsia" w:ascii="宋体" w:hAnsi="宋体"/>
          <w:b/>
          <w:color w:val="000000"/>
          <w:sz w:val="44"/>
          <w:szCs w:val="44"/>
        </w:rPr>
        <w:t>）</w:t>
      </w:r>
      <w:r>
        <w:rPr>
          <w:rFonts w:hint="eastAsia" w:ascii="宋体" w:hAnsi="宋体"/>
          <w:b/>
          <w:color w:val="000000"/>
          <w:sz w:val="44"/>
          <w:szCs w:val="44"/>
          <w:lang w:val="en-US" w:eastAsia="zh-CN"/>
        </w:rPr>
        <w:t>主要修订内容介绍</w:t>
      </w:r>
      <w:bookmarkStart w:id="0" w:name="_GoBack"/>
      <w:bookmarkEnd w:id="0"/>
    </w:p>
    <w:p>
      <w:pPr>
        <w:spacing w:line="480" w:lineRule="auto"/>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一、整体修改的主要条款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b w:val="0"/>
          <w:bCs w:val="0"/>
          <w:sz w:val="32"/>
          <w:szCs w:val="32"/>
        </w:rPr>
        <w:t>一）章节调整：</w:t>
      </w:r>
      <w:r>
        <w:rPr>
          <w:rFonts w:hint="eastAsia" w:ascii="仿宋" w:hAnsi="仿宋" w:eastAsia="仿宋" w:cs="仿宋"/>
          <w:sz w:val="32"/>
          <w:szCs w:val="32"/>
        </w:rPr>
        <w:t>原第二章标题（“基本要求”），修改为现“工作底稿的编制”。原第三章“工作底稿的内容”、原第四章“工作底稿的编制和管理”截至第十五条的内容均并入现第二章，章节及标题删除。原第四章第十六条之后内容，修订后组成现第三章（“评估档案的归集和管理”）。</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修改理由：符合修订后准则的结构和内容需要。</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sz w:val="32"/>
          <w:szCs w:val="32"/>
        </w:rPr>
        <w:t>（二）原第二条“本准则所称工作底稿，是指注册资产评估师执行评估业务形成的，反映评估程序实施情况、支持评估结论的工作记录和相</w:t>
      </w:r>
      <w:r>
        <w:rPr>
          <w:rFonts w:hint="eastAsia" w:ascii="仿宋" w:hAnsi="仿宋" w:eastAsia="仿宋" w:cs="仿宋"/>
          <w:b w:val="0"/>
          <w:bCs w:val="0"/>
          <w:sz w:val="32"/>
          <w:szCs w:val="32"/>
        </w:rPr>
        <w:t>关资料”。修改为现第二条“本准则所称评估档案，是指资产评估师和其他资产评估专业人员执行评估业务形成的，反映评估程序实施情况、支持评估结果的工作底稿、评估报告及其他相关资料”。</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修改理由：根据《中华人民共和国资产评估法》、《资产评估准则——基本准则》的修订内容，以及本准则现用名称进行相应修改，以对“评估档案”的定义取代原工作底稿定义。</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三）原第八条“工作底稿可以是纸质文档、电子文档或者其它介质形式的文档，注册资产评估师可以根据评估业务具体情况合理选择工作底稿的形式。电子或者其它介质形式的重要工作底稿，如评估业务执行过程中的重大问题处理记录，对评估结论有重大影响的现场勘查记录、询价记录和评定估算过程记录等，应当同时形成纸质文档”。修改为现第七条“工作底稿可以是纸质文档、电子文档或者其它介质形式的文档，资产评估师和其他资产评估专业人员应当根据评估业务具体情况谨慎选择工作底稿的形式”。</w:t>
      </w:r>
    </w:p>
    <w:p>
      <w:pPr>
        <w:spacing w:line="480" w:lineRule="auto"/>
        <w:ind w:firstLine="640" w:firstLineChars="200"/>
        <w:rPr>
          <w:rFonts w:ascii="仿宋" w:hAnsi="仿宋" w:eastAsia="仿宋" w:cs="仿宋"/>
          <w:b w:val="0"/>
          <w:bCs w:val="0"/>
          <w:sz w:val="32"/>
          <w:szCs w:val="32"/>
        </w:rPr>
      </w:pPr>
      <w:r>
        <w:rPr>
          <w:rFonts w:hint="eastAsia" w:ascii="仿宋" w:hAnsi="仿宋" w:eastAsia="仿宋" w:cs="仿宋"/>
          <w:b w:val="0"/>
          <w:bCs w:val="0"/>
          <w:sz w:val="32"/>
          <w:szCs w:val="32"/>
        </w:rPr>
        <w:t>修改理由：准则对工作底稿的文档形式及其原则做出原则规定，具体可由评估机构根据情况进行规范。</w:t>
      </w:r>
    </w:p>
    <w:p>
      <w:pPr>
        <w:spacing w:line="480" w:lineRule="auto"/>
        <w:ind w:firstLine="640" w:firstLineChars="200"/>
        <w:rPr>
          <w:rFonts w:ascii="仿宋" w:hAnsi="仿宋" w:eastAsia="仿宋" w:cs="仿宋"/>
          <w:sz w:val="32"/>
          <w:szCs w:val="32"/>
        </w:rPr>
      </w:pPr>
      <w:r>
        <w:rPr>
          <w:rFonts w:hint="eastAsia" w:ascii="仿宋" w:hAnsi="仿宋" w:eastAsia="仿宋" w:cs="仿宋"/>
          <w:b w:val="0"/>
          <w:bCs w:val="0"/>
          <w:sz w:val="32"/>
          <w:szCs w:val="32"/>
        </w:rPr>
        <w:t>（四）原第十三条“注册资产评估师收集委托方和相关当事方提供的与评估业务相关的资料作为工作底稿，应当由提供方在相关资料中签字、盖章或者以其他方式进行确认”。修改为现第十二条“资产评估师和其他资产评估专业人员收集委托人和相关当事人提供的资产评估申报资料及</w:t>
      </w:r>
      <w:r>
        <w:rPr>
          <w:rFonts w:hint="eastAsia" w:ascii="仿宋" w:hAnsi="仿宋" w:eastAsia="仿宋" w:cs="仿宋"/>
          <w:sz w:val="32"/>
          <w:szCs w:val="32"/>
        </w:rPr>
        <w:t>其他重要资料作为工作底稿，应当由提供方对相关资料进行确认，包括但不限于签字、盖章、法律允许的其他方式等”。</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修改理由：与原《资产评估准则——评估程序》第十八条、《资产评估准则——业务约定书》第十六条的修订保持一致，重点强调要求资料提供方进行“确认”。</w:t>
      </w:r>
    </w:p>
    <w:p>
      <w:pPr>
        <w:spacing w:line="480" w:lineRule="auto"/>
        <w:ind w:firstLine="640" w:firstLineChars="200"/>
        <w:rPr>
          <w:rFonts w:ascii="仿宋" w:hAnsi="仿宋" w:eastAsia="仿宋" w:cs="仿宋"/>
          <w:b w:val="0"/>
          <w:bCs/>
          <w:sz w:val="32"/>
          <w:szCs w:val="32"/>
        </w:rPr>
      </w:pPr>
      <w:r>
        <w:rPr>
          <w:rFonts w:hint="eastAsia" w:ascii="仿宋" w:hAnsi="仿宋" w:eastAsia="仿宋" w:cs="仿宋"/>
          <w:sz w:val="32"/>
          <w:szCs w:val="32"/>
        </w:rPr>
        <w:t>（五）原第十四条“工作底稿应当反映内部审核过程。审核人在审核工作底稿时，应当书面表示审核意见并签字”。</w:t>
      </w:r>
      <w:r>
        <w:rPr>
          <w:rFonts w:hint="eastAsia" w:ascii="仿宋" w:hAnsi="仿宋" w:eastAsia="仿宋" w:cs="仿宋"/>
          <w:b w:val="0"/>
          <w:bCs/>
          <w:sz w:val="32"/>
          <w:szCs w:val="32"/>
        </w:rPr>
        <w:t>修改为现第十三条“工作底稿中应当反映内部审核过程”。</w:t>
      </w:r>
    </w:p>
    <w:p>
      <w:pPr>
        <w:spacing w:line="480" w:lineRule="auto"/>
        <w:ind w:firstLine="640" w:firstLineChars="200"/>
        <w:rPr>
          <w:rFonts w:ascii="仿宋" w:hAnsi="仿宋" w:eastAsia="仿宋" w:cs="仿宋"/>
          <w:b w:val="0"/>
          <w:bCs/>
          <w:sz w:val="32"/>
          <w:szCs w:val="32"/>
        </w:rPr>
      </w:pPr>
      <w:r>
        <w:rPr>
          <w:rFonts w:hint="eastAsia" w:ascii="仿宋" w:hAnsi="仿宋" w:eastAsia="仿宋" w:cs="仿宋"/>
          <w:b w:val="0"/>
          <w:bCs/>
          <w:sz w:val="32"/>
          <w:szCs w:val="32"/>
        </w:rPr>
        <w:t>修改理由：准则对工作底稿应反映内部审核过程提出原则要求，具体可由评估机构根据情况进行规范。</w:t>
      </w:r>
    </w:p>
    <w:p>
      <w:pPr>
        <w:spacing w:line="480" w:lineRule="auto"/>
        <w:ind w:firstLine="640" w:firstLineChars="200"/>
        <w:rPr>
          <w:rFonts w:ascii="仿宋" w:hAnsi="仿宋" w:eastAsia="仿宋" w:cs="仿宋"/>
          <w:b w:val="0"/>
          <w:bCs/>
          <w:sz w:val="32"/>
          <w:szCs w:val="32"/>
        </w:rPr>
      </w:pPr>
      <w:r>
        <w:rPr>
          <w:rFonts w:hint="eastAsia" w:ascii="仿宋" w:hAnsi="仿宋" w:eastAsia="仿宋" w:cs="仿宋"/>
          <w:b w:val="0"/>
          <w:bCs/>
          <w:sz w:val="32"/>
          <w:szCs w:val="32"/>
        </w:rPr>
        <w:t>（六）原第十六条“注册资产评估师应当在评估报告日后90日内，及时将工作底稿与评估报告等一起归入评估业务档案，并由所在评估机构按照国家有关档案管理的法律、法规及本准则的规定妥善管理”。修改为现第十五条“资产评估师和其他资产评估专业人员应当在评估报告日后将工作底稿与评估报告等归集形成评估档案，并由所在资产评估机构按照国家有关法律、法规及本准则的规定妥善管理”。</w:t>
      </w:r>
    </w:p>
    <w:p>
      <w:pPr>
        <w:spacing w:line="480" w:lineRule="auto"/>
        <w:ind w:firstLine="640" w:firstLineChars="200"/>
        <w:rPr>
          <w:rFonts w:ascii="仿宋" w:hAnsi="仿宋" w:eastAsia="仿宋" w:cs="仿宋"/>
          <w:b w:val="0"/>
          <w:bCs/>
          <w:sz w:val="32"/>
          <w:szCs w:val="32"/>
        </w:rPr>
      </w:pPr>
      <w:r>
        <w:rPr>
          <w:rFonts w:hint="eastAsia" w:ascii="仿宋" w:hAnsi="仿宋" w:eastAsia="仿宋" w:cs="仿宋"/>
          <w:b w:val="0"/>
          <w:bCs/>
          <w:sz w:val="32"/>
          <w:szCs w:val="32"/>
        </w:rPr>
        <w:t>修改理由：修改部分表述使条款内容更完善；对归档时限不作具体规定，可由评估机构根据情况进行规范。</w:t>
      </w:r>
    </w:p>
    <w:p>
      <w:pPr>
        <w:spacing w:line="480" w:lineRule="auto"/>
        <w:ind w:firstLine="640" w:firstLineChars="200"/>
        <w:rPr>
          <w:rFonts w:ascii="仿宋" w:hAnsi="仿宋" w:eastAsia="仿宋" w:cs="仿宋"/>
          <w:b w:val="0"/>
          <w:bCs/>
          <w:sz w:val="32"/>
          <w:szCs w:val="32"/>
        </w:rPr>
      </w:pPr>
      <w:r>
        <w:rPr>
          <w:rFonts w:hint="eastAsia" w:ascii="仿宋" w:hAnsi="仿宋" w:eastAsia="仿宋" w:cs="仿宋"/>
          <w:b w:val="0"/>
          <w:bCs/>
          <w:sz w:val="32"/>
          <w:szCs w:val="32"/>
        </w:rPr>
        <w:t>（七）原第十七条“评估业务档案自评估报告日起至少保存10年。国家法律、法规另有规定的，依照其规定”。修改为现第十六条“评估档案自评估报告日起保存期限不少于十五年，属于法定资产评估业务的，不少于三十年”。</w:t>
      </w:r>
    </w:p>
    <w:p>
      <w:pPr>
        <w:spacing w:line="480" w:lineRule="auto"/>
        <w:ind w:firstLine="640" w:firstLineChars="200"/>
        <w:rPr>
          <w:rFonts w:ascii="仿宋" w:hAnsi="仿宋" w:eastAsia="仿宋" w:cs="仿宋"/>
          <w:b w:val="0"/>
          <w:bCs/>
          <w:sz w:val="32"/>
          <w:szCs w:val="32"/>
        </w:rPr>
      </w:pPr>
      <w:r>
        <w:rPr>
          <w:rFonts w:hint="eastAsia" w:ascii="仿宋" w:hAnsi="仿宋" w:eastAsia="仿宋" w:cs="仿宋"/>
          <w:b w:val="0"/>
          <w:bCs/>
          <w:sz w:val="32"/>
          <w:szCs w:val="32"/>
        </w:rPr>
        <w:t>修改理由：根据《中华人民共和国资产评估法》的规定。</w:t>
      </w:r>
    </w:p>
    <w:p>
      <w:pPr>
        <w:spacing w:line="480" w:lineRule="auto"/>
        <w:ind w:firstLine="640" w:firstLineChars="200"/>
        <w:rPr>
          <w:rFonts w:ascii="仿宋" w:hAnsi="仿宋" w:eastAsia="仿宋" w:cs="仿宋"/>
          <w:sz w:val="32"/>
          <w:szCs w:val="32"/>
        </w:rPr>
      </w:pPr>
      <w:r>
        <w:rPr>
          <w:rFonts w:hint="eastAsia" w:ascii="仿宋" w:hAnsi="仿宋" w:eastAsia="仿宋" w:cs="仿宋"/>
          <w:b w:val="0"/>
          <w:bCs/>
          <w:sz w:val="32"/>
          <w:szCs w:val="32"/>
        </w:rPr>
        <w:t>（八）原第十八条“对于电子文档或者其他介质的评估业务档案，评估机构应当采取适当措施保证信息的完整性和有效性”。修改为现第十七条“对于电子文档或者</w:t>
      </w:r>
      <w:r>
        <w:rPr>
          <w:rFonts w:hint="eastAsia" w:ascii="仿宋" w:hAnsi="仿宋" w:eastAsia="仿宋" w:cs="仿宋"/>
          <w:sz w:val="32"/>
          <w:szCs w:val="32"/>
        </w:rPr>
        <w:t>其他介质的评估档案，资产评估机构应当在法定保存期限内妥善保存”。</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修改理由：使要求更为明确。</w:t>
      </w:r>
    </w:p>
    <w:p>
      <w:pPr>
        <w:spacing w:line="480" w:lineRule="auto"/>
        <w:ind w:firstLine="640" w:firstLineChars="200"/>
        <w:rPr>
          <w:rFonts w:ascii="仿宋" w:hAnsi="仿宋" w:eastAsia="仿宋" w:cs="仿宋"/>
          <w:sz w:val="32"/>
          <w:szCs w:val="32"/>
        </w:rPr>
      </w:pPr>
    </w:p>
    <w:p>
      <w:pPr>
        <w:spacing w:line="480" w:lineRule="auto"/>
        <w:ind w:firstLine="643" w:firstLineChars="200"/>
        <w:rPr>
          <w:rFonts w:ascii="仿宋" w:hAnsi="仿宋" w:eastAsia="仿宋" w:cs="仿宋"/>
          <w:b/>
          <w:sz w:val="32"/>
          <w:szCs w:val="32"/>
        </w:rPr>
      </w:pPr>
      <w:r>
        <w:rPr>
          <w:rFonts w:hint="eastAsia" w:ascii="仿宋" w:hAnsi="仿宋" w:eastAsia="仿宋" w:cs="仿宋"/>
          <w:b/>
          <w:sz w:val="32"/>
          <w:szCs w:val="32"/>
        </w:rPr>
        <w:t>二、部分修改的主要条款</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（一）原第五条中“编制</w:t>
      </w:r>
      <w:r>
        <w:rPr>
          <w:rFonts w:hint="eastAsia" w:ascii="仿宋" w:hAnsi="仿宋" w:eastAsia="仿宋" w:cs="仿宋"/>
          <w:b/>
          <w:sz w:val="32"/>
          <w:szCs w:val="32"/>
        </w:rPr>
        <w:t>和管理</w:t>
      </w:r>
      <w:r>
        <w:rPr>
          <w:rFonts w:hint="eastAsia" w:ascii="仿宋" w:hAnsi="仿宋" w:eastAsia="仿宋" w:cs="仿宋"/>
          <w:sz w:val="32"/>
          <w:szCs w:val="32"/>
        </w:rPr>
        <w:t>工作底稿”</w:t>
      </w:r>
      <w:r>
        <w:rPr>
          <w:rFonts w:hint="eastAsia" w:ascii="仿宋" w:hAnsi="仿宋" w:eastAsia="仿宋" w:cs="仿宋"/>
          <w:b w:val="0"/>
          <w:bCs/>
          <w:sz w:val="32"/>
          <w:szCs w:val="32"/>
        </w:rPr>
        <w:t>修改为现第四条的“编</w:t>
      </w:r>
      <w:r>
        <w:rPr>
          <w:rFonts w:hint="eastAsia" w:ascii="仿宋" w:hAnsi="仿宋" w:eastAsia="仿宋" w:cs="仿宋"/>
          <w:sz w:val="32"/>
          <w:szCs w:val="32"/>
        </w:rPr>
        <w:t>制工作底稿”。</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修改理由：表述更准确。</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（二）原第十条的（五）“评估报告的审核</w:t>
      </w:r>
      <w:r>
        <w:rPr>
          <w:rFonts w:hint="eastAsia" w:ascii="仿宋" w:hAnsi="仿宋" w:eastAsia="仿宋" w:cs="仿宋"/>
          <w:b/>
          <w:sz w:val="32"/>
          <w:szCs w:val="32"/>
        </w:rPr>
        <w:t>记录</w:t>
      </w:r>
      <w:r>
        <w:rPr>
          <w:rFonts w:hint="eastAsia" w:ascii="仿宋" w:hAnsi="仿宋" w:eastAsia="仿宋" w:cs="仿宋"/>
          <w:sz w:val="32"/>
          <w:szCs w:val="32"/>
        </w:rPr>
        <w:t>”，</w:t>
      </w:r>
      <w:r>
        <w:rPr>
          <w:rFonts w:hint="eastAsia" w:ascii="仿宋" w:hAnsi="仿宋" w:eastAsia="仿宋" w:cs="仿宋"/>
          <w:b w:val="0"/>
          <w:bCs/>
          <w:sz w:val="32"/>
          <w:szCs w:val="32"/>
        </w:rPr>
        <w:t>修改为现第九条的</w:t>
      </w:r>
      <w:r>
        <w:rPr>
          <w:rFonts w:hint="eastAsia" w:ascii="仿宋" w:hAnsi="仿宋" w:eastAsia="仿宋" w:cs="仿宋"/>
          <w:sz w:val="32"/>
          <w:szCs w:val="32"/>
        </w:rPr>
        <w:t>（五）“评估报告的审核</w:t>
      </w:r>
      <w:r>
        <w:rPr>
          <w:rFonts w:hint="eastAsia" w:ascii="仿宋" w:hAnsi="仿宋" w:eastAsia="仿宋" w:cs="仿宋"/>
          <w:b/>
          <w:sz w:val="32"/>
          <w:szCs w:val="32"/>
        </w:rPr>
        <w:t>意见</w:t>
      </w:r>
      <w:r>
        <w:rPr>
          <w:rFonts w:hint="eastAsia" w:ascii="仿宋" w:hAnsi="仿宋" w:eastAsia="仿宋" w:cs="仿宋"/>
          <w:sz w:val="32"/>
          <w:szCs w:val="32"/>
        </w:rPr>
        <w:t>”。</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修改理由：表述更具体。</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（三）原第十一条（一）、（二）、（三）中的资料“包括”，</w:t>
      </w:r>
      <w:r>
        <w:rPr>
          <w:rFonts w:hint="eastAsia" w:ascii="仿宋" w:hAnsi="仿宋" w:eastAsia="仿宋" w:cs="仿宋"/>
          <w:b w:val="0"/>
          <w:bCs/>
          <w:sz w:val="32"/>
          <w:szCs w:val="32"/>
        </w:rPr>
        <w:t>修改为现第十条</w:t>
      </w:r>
      <w:r>
        <w:rPr>
          <w:rFonts w:hint="eastAsia" w:ascii="仿宋" w:hAnsi="仿宋" w:eastAsia="仿宋" w:cs="仿宋"/>
          <w:sz w:val="32"/>
          <w:szCs w:val="32"/>
        </w:rPr>
        <w:t>的“</w:t>
      </w:r>
      <w:r>
        <w:rPr>
          <w:rFonts w:hint="eastAsia" w:ascii="仿宋" w:hAnsi="仿宋" w:eastAsia="仿宋" w:cs="仿宋"/>
          <w:b/>
          <w:sz w:val="32"/>
          <w:szCs w:val="32"/>
        </w:rPr>
        <w:t>通常</w:t>
      </w:r>
      <w:r>
        <w:rPr>
          <w:rFonts w:hint="eastAsia" w:ascii="仿宋" w:hAnsi="仿宋" w:eastAsia="仿宋" w:cs="仿宋"/>
          <w:sz w:val="32"/>
          <w:szCs w:val="32"/>
        </w:rPr>
        <w:t>包括”；</w:t>
      </w:r>
    </w:p>
    <w:p>
      <w:pPr>
        <w:spacing w:line="48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原第十一条（一）中“委托方提供的资产评估申报资料，现场勘查记录，函证记录，</w:t>
      </w:r>
      <w:r>
        <w:rPr>
          <w:rFonts w:hint="eastAsia" w:ascii="仿宋" w:hAnsi="仿宋" w:eastAsia="仿宋" w:cs="仿宋"/>
          <w:b/>
          <w:sz w:val="32"/>
          <w:szCs w:val="32"/>
        </w:rPr>
        <w:t>主要或者重要资产</w:t>
      </w:r>
      <w:r>
        <w:rPr>
          <w:rFonts w:hint="eastAsia" w:ascii="仿宋" w:hAnsi="仿宋" w:eastAsia="仿宋" w:cs="仿宋"/>
          <w:sz w:val="32"/>
          <w:szCs w:val="32"/>
        </w:rPr>
        <w:t>的权属证明材料，与评估业务相关的财务、审计等资料，其他相关资料”，</w:t>
      </w:r>
      <w:r>
        <w:rPr>
          <w:rFonts w:hint="eastAsia" w:ascii="仿宋" w:hAnsi="仿宋" w:eastAsia="仿宋" w:cs="仿宋"/>
          <w:b w:val="0"/>
          <w:bCs/>
          <w:sz w:val="32"/>
          <w:szCs w:val="32"/>
        </w:rPr>
        <w:t>修改为现第十条</w:t>
      </w:r>
      <w:r>
        <w:rPr>
          <w:rFonts w:hint="eastAsia" w:ascii="仿宋" w:hAnsi="仿宋" w:eastAsia="仿宋" w:cs="仿宋"/>
          <w:sz w:val="32"/>
          <w:szCs w:val="32"/>
        </w:rPr>
        <w:t>（一）的“委托人</w:t>
      </w:r>
      <w:r>
        <w:rPr>
          <w:rFonts w:hint="eastAsia" w:ascii="仿宋" w:hAnsi="仿宋" w:eastAsia="仿宋" w:cs="仿宋"/>
          <w:b/>
          <w:sz w:val="32"/>
          <w:szCs w:val="32"/>
        </w:rPr>
        <w:t>或相关当事人</w:t>
      </w:r>
      <w:r>
        <w:rPr>
          <w:rFonts w:hint="eastAsia" w:ascii="仿宋" w:hAnsi="仿宋" w:eastAsia="仿宋" w:cs="仿宋"/>
          <w:sz w:val="32"/>
          <w:szCs w:val="32"/>
        </w:rPr>
        <w:t>提供的资产评估申报资料，</w:t>
      </w:r>
      <w:r>
        <w:rPr>
          <w:rFonts w:hint="eastAsia" w:ascii="仿宋" w:hAnsi="仿宋" w:eastAsia="仿宋" w:cs="仿宋"/>
          <w:b/>
          <w:sz w:val="32"/>
          <w:szCs w:val="32"/>
        </w:rPr>
        <w:t>评估对象</w:t>
      </w:r>
      <w:r>
        <w:rPr>
          <w:rFonts w:hint="eastAsia" w:ascii="仿宋" w:hAnsi="仿宋" w:eastAsia="仿宋" w:cs="仿宋"/>
          <w:sz w:val="32"/>
          <w:szCs w:val="32"/>
        </w:rPr>
        <w:t>的权属证明材料，与评估业务相关的</w:t>
      </w:r>
      <w:r>
        <w:rPr>
          <w:rFonts w:hint="eastAsia" w:ascii="仿宋" w:hAnsi="仿宋" w:eastAsia="仿宋" w:cs="仿宋"/>
          <w:b/>
          <w:sz w:val="32"/>
          <w:szCs w:val="32"/>
        </w:rPr>
        <w:t>历史、预测、</w:t>
      </w:r>
      <w:r>
        <w:rPr>
          <w:rFonts w:hint="eastAsia" w:ascii="仿宋" w:hAnsi="仿宋" w:eastAsia="仿宋" w:cs="仿宋"/>
          <w:sz w:val="32"/>
          <w:szCs w:val="32"/>
        </w:rPr>
        <w:t>财务、审计等资料，</w:t>
      </w:r>
      <w:r>
        <w:rPr>
          <w:rFonts w:hint="eastAsia" w:ascii="仿宋" w:hAnsi="仿宋" w:eastAsia="仿宋" w:cs="仿宋"/>
          <w:b/>
          <w:sz w:val="32"/>
          <w:szCs w:val="32"/>
        </w:rPr>
        <w:t>以及相关说明、证明和承诺</w:t>
      </w:r>
      <w:r>
        <w:rPr>
          <w:rFonts w:hint="eastAsia" w:ascii="仿宋" w:hAnsi="仿宋" w:eastAsia="仿宋" w:cs="仿宋"/>
          <w:sz w:val="32"/>
          <w:szCs w:val="32"/>
        </w:rPr>
        <w:t>；现场勘查记录，函证记录；其他相关资料”；</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原第十一条（二）的“市场调查及数据分析资料，</w:t>
      </w:r>
      <w:r>
        <w:rPr>
          <w:rFonts w:hint="eastAsia" w:ascii="仿宋" w:hAnsi="仿宋" w:eastAsia="仿宋" w:cs="仿宋"/>
          <w:b/>
          <w:sz w:val="32"/>
          <w:szCs w:val="32"/>
        </w:rPr>
        <w:t>相关的历史和预测资料，</w:t>
      </w:r>
      <w:r>
        <w:rPr>
          <w:rFonts w:hint="eastAsia" w:ascii="仿宋" w:hAnsi="仿宋" w:eastAsia="仿宋" w:cs="仿宋"/>
          <w:sz w:val="32"/>
          <w:szCs w:val="32"/>
        </w:rPr>
        <w:t>询价记录，其他专家鉴定及专业人士报告，</w:t>
      </w:r>
      <w:r>
        <w:rPr>
          <w:rFonts w:hint="eastAsia" w:ascii="仿宋" w:hAnsi="仿宋" w:eastAsia="仿宋" w:cs="仿宋"/>
          <w:b/>
          <w:sz w:val="32"/>
          <w:szCs w:val="32"/>
        </w:rPr>
        <w:t>委托方及相关当事方提供的说明、证明和承诺，</w:t>
      </w:r>
      <w:r>
        <w:rPr>
          <w:rFonts w:hint="eastAsia" w:ascii="仿宋" w:hAnsi="仿宋" w:eastAsia="仿宋" w:cs="仿宋"/>
          <w:sz w:val="32"/>
          <w:szCs w:val="32"/>
        </w:rPr>
        <w:t>其他相关资料”</w:t>
      </w:r>
      <w:r>
        <w:rPr>
          <w:rFonts w:hint="eastAsia" w:ascii="仿宋" w:hAnsi="仿宋" w:eastAsia="仿宋" w:cs="仿宋"/>
          <w:b w:val="0"/>
          <w:bCs w:val="0"/>
          <w:sz w:val="32"/>
          <w:szCs w:val="32"/>
        </w:rPr>
        <w:t>，修改为现第十条</w:t>
      </w:r>
      <w:r>
        <w:rPr>
          <w:rFonts w:hint="eastAsia" w:ascii="仿宋" w:hAnsi="仿宋" w:eastAsia="仿宋" w:cs="仿宋"/>
          <w:sz w:val="32"/>
          <w:szCs w:val="32"/>
        </w:rPr>
        <w:t>（二）“市场调查及数据分析资料，询价记录，其他专家鉴定及专业人士报告，其他相关资料”。</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修改理由：根据资料提供来源对（一）、（二）的部分资料内容进行调整；根据实务经验增补“或相关当事人”；修改权属证明的对象；修改后更具可操作性。</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（四）原第十二条的“应当及时整理工作底稿</w:t>
      </w:r>
      <w:r>
        <w:rPr>
          <w:rFonts w:hint="eastAsia" w:ascii="仿宋" w:hAnsi="仿宋" w:eastAsia="仿宋" w:cs="仿宋"/>
          <w:b/>
          <w:sz w:val="32"/>
          <w:szCs w:val="32"/>
        </w:rPr>
        <w:t>并归档</w:t>
      </w:r>
      <w:r>
        <w:rPr>
          <w:rFonts w:hint="eastAsia" w:ascii="仿宋" w:hAnsi="仿宋" w:eastAsia="仿宋" w:cs="仿宋"/>
          <w:sz w:val="32"/>
          <w:szCs w:val="32"/>
        </w:rPr>
        <w:t>”，</w:t>
      </w:r>
      <w:r>
        <w:rPr>
          <w:rFonts w:hint="eastAsia" w:ascii="仿宋" w:hAnsi="仿宋" w:eastAsia="仿宋" w:cs="仿宋"/>
          <w:b w:val="0"/>
          <w:bCs/>
          <w:sz w:val="32"/>
          <w:szCs w:val="32"/>
        </w:rPr>
        <w:t>修改为现第十一条</w:t>
      </w:r>
      <w:r>
        <w:rPr>
          <w:rFonts w:hint="eastAsia" w:ascii="仿宋" w:hAnsi="仿宋" w:eastAsia="仿宋" w:cs="仿宋"/>
          <w:sz w:val="32"/>
          <w:szCs w:val="32"/>
        </w:rPr>
        <w:t>的“应当及时整理工作底稿”。</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修改理由：归档在修订后的后续条款中已作规定。</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（五）原第十五条的“编制工作底稿目录</w:t>
      </w:r>
      <w:r>
        <w:rPr>
          <w:rFonts w:hint="eastAsia" w:ascii="仿宋" w:hAnsi="仿宋" w:eastAsia="仿宋" w:cs="仿宋"/>
          <w:b/>
          <w:sz w:val="32"/>
          <w:szCs w:val="32"/>
        </w:rPr>
        <w:t>和索引号</w:t>
      </w:r>
      <w:r>
        <w:rPr>
          <w:rFonts w:hint="eastAsia" w:ascii="仿宋" w:hAnsi="仿宋" w:eastAsia="仿宋" w:cs="仿宋"/>
          <w:sz w:val="32"/>
          <w:szCs w:val="32"/>
        </w:rPr>
        <w:t>，反映工作底稿间的勾稽关</w:t>
      </w:r>
      <w:r>
        <w:rPr>
          <w:rFonts w:hint="eastAsia" w:ascii="仿宋" w:hAnsi="仿宋" w:eastAsia="仿宋" w:cs="仿宋"/>
          <w:b w:val="0"/>
          <w:bCs w:val="0"/>
          <w:sz w:val="32"/>
          <w:szCs w:val="32"/>
        </w:rPr>
        <w:t>系”，</w:t>
      </w:r>
      <w:r>
        <w:rPr>
          <w:rFonts w:hint="eastAsia" w:ascii="仿宋" w:hAnsi="仿宋" w:eastAsia="仿宋" w:cs="仿宋"/>
          <w:b w:val="0"/>
          <w:bCs/>
          <w:sz w:val="32"/>
          <w:szCs w:val="32"/>
        </w:rPr>
        <w:t>修改为现第十四条</w:t>
      </w:r>
      <w:r>
        <w:rPr>
          <w:rFonts w:hint="eastAsia" w:ascii="仿宋" w:hAnsi="仿宋" w:eastAsia="仿宋" w:cs="仿宋"/>
          <w:sz w:val="32"/>
          <w:szCs w:val="32"/>
        </w:rPr>
        <w:t>的“编制工作底稿目录</w:t>
      </w:r>
      <w:r>
        <w:rPr>
          <w:rFonts w:hint="eastAsia" w:ascii="仿宋" w:hAnsi="仿宋" w:eastAsia="仿宋" w:cs="仿宋"/>
          <w:b/>
          <w:sz w:val="32"/>
          <w:szCs w:val="32"/>
        </w:rPr>
        <w:t>，建立必要的索引号</w:t>
      </w:r>
      <w:r>
        <w:rPr>
          <w:rFonts w:hint="eastAsia" w:ascii="仿宋" w:hAnsi="仿宋" w:eastAsia="仿宋" w:cs="仿宋"/>
          <w:sz w:val="32"/>
          <w:szCs w:val="32"/>
        </w:rPr>
        <w:t>，</w:t>
      </w:r>
      <w:r>
        <w:rPr>
          <w:rFonts w:hint="eastAsia" w:ascii="仿宋" w:hAnsi="仿宋" w:eastAsia="仿宋" w:cs="仿宋"/>
          <w:b/>
          <w:sz w:val="32"/>
          <w:szCs w:val="32"/>
        </w:rPr>
        <w:t>以</w:t>
      </w:r>
      <w:r>
        <w:rPr>
          <w:rFonts w:hint="eastAsia" w:ascii="仿宋" w:hAnsi="仿宋" w:eastAsia="仿宋" w:cs="仿宋"/>
          <w:sz w:val="32"/>
          <w:szCs w:val="32"/>
        </w:rPr>
        <w:t>反映工作底稿间的勾稽关系”。</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修改理由：修改后更符合实际。</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（六）原第十九条的“不得在规定的保存期内对</w:t>
      </w:r>
      <w:r>
        <w:rPr>
          <w:rFonts w:hint="eastAsia" w:ascii="仿宋" w:hAnsi="仿宋" w:eastAsia="仿宋" w:cs="仿宋"/>
          <w:b/>
          <w:sz w:val="32"/>
          <w:szCs w:val="32"/>
        </w:rPr>
        <w:t>已完成归档的评估业务档案</w:t>
      </w:r>
      <w:r>
        <w:rPr>
          <w:rFonts w:hint="eastAsia" w:ascii="仿宋" w:hAnsi="仿宋" w:eastAsia="仿宋" w:cs="仿宋"/>
          <w:sz w:val="32"/>
          <w:szCs w:val="32"/>
        </w:rPr>
        <w:t>删改或者销毁”，</w:t>
      </w:r>
      <w:r>
        <w:rPr>
          <w:rFonts w:hint="eastAsia" w:ascii="仿宋" w:hAnsi="仿宋" w:eastAsia="仿宋" w:cs="仿宋"/>
          <w:b w:val="0"/>
          <w:bCs/>
          <w:sz w:val="32"/>
          <w:szCs w:val="32"/>
        </w:rPr>
        <w:t>修改为现第十八条</w:t>
      </w:r>
      <w:r>
        <w:rPr>
          <w:rFonts w:hint="eastAsia" w:ascii="仿宋" w:hAnsi="仿宋" w:eastAsia="仿宋" w:cs="仿宋"/>
          <w:sz w:val="32"/>
          <w:szCs w:val="32"/>
        </w:rPr>
        <w:t>的“不得</w:t>
      </w:r>
      <w:r>
        <w:rPr>
          <w:rFonts w:hint="eastAsia" w:ascii="仿宋" w:hAnsi="仿宋" w:eastAsia="仿宋" w:cs="仿宋"/>
          <w:b/>
          <w:sz w:val="32"/>
          <w:szCs w:val="32"/>
        </w:rPr>
        <w:t>对</w:t>
      </w:r>
      <w:r>
        <w:rPr>
          <w:rFonts w:hint="eastAsia" w:ascii="仿宋" w:hAnsi="仿宋" w:eastAsia="仿宋" w:cs="仿宋"/>
          <w:sz w:val="32"/>
          <w:szCs w:val="32"/>
        </w:rPr>
        <w:t>在规定保存期内的</w:t>
      </w:r>
      <w:r>
        <w:rPr>
          <w:rFonts w:hint="eastAsia" w:ascii="仿宋" w:hAnsi="仿宋" w:eastAsia="仿宋" w:cs="仿宋"/>
          <w:b/>
          <w:sz w:val="32"/>
          <w:szCs w:val="32"/>
        </w:rPr>
        <w:t>评估档案非法</w:t>
      </w:r>
      <w:r>
        <w:rPr>
          <w:rFonts w:hint="eastAsia" w:ascii="仿宋" w:hAnsi="仿宋" w:eastAsia="仿宋" w:cs="仿宋"/>
          <w:sz w:val="32"/>
          <w:szCs w:val="32"/>
        </w:rPr>
        <w:t>删改或者销毁”。</w:t>
      </w:r>
    </w:p>
    <w:p>
      <w:pPr>
        <w:spacing w:line="480" w:lineRule="auto"/>
        <w:ind w:firstLine="640" w:firstLineChars="200"/>
        <w:rPr>
          <w:rFonts w:ascii="仿宋" w:hAnsi="仿宋" w:eastAsia="仿宋" w:cs="仿宋"/>
          <w:sz w:val="32"/>
          <w:szCs w:val="32"/>
        </w:rPr>
      </w:pPr>
      <w:r>
        <w:rPr>
          <w:rFonts w:hint="eastAsia" w:ascii="仿宋" w:hAnsi="仿宋" w:eastAsia="仿宋" w:cs="仿宋"/>
          <w:sz w:val="32"/>
          <w:szCs w:val="32"/>
        </w:rPr>
        <w:t>修改理由：修改后表述更清晰。</w:t>
      </w:r>
    </w:p>
    <w:p>
      <w:pPr>
        <w:spacing w:line="480" w:lineRule="auto"/>
        <w:ind w:firstLine="640" w:firstLineChars="200"/>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97DA9"/>
    <w:rsid w:val="000539A9"/>
    <w:rsid w:val="00066AD7"/>
    <w:rsid w:val="00097392"/>
    <w:rsid w:val="000C6977"/>
    <w:rsid w:val="00145136"/>
    <w:rsid w:val="001808E4"/>
    <w:rsid w:val="00197DA9"/>
    <w:rsid w:val="001B50D4"/>
    <w:rsid w:val="001C577D"/>
    <w:rsid w:val="001F4E76"/>
    <w:rsid w:val="00233F5E"/>
    <w:rsid w:val="002366B7"/>
    <w:rsid w:val="002425A8"/>
    <w:rsid w:val="00245AB1"/>
    <w:rsid w:val="0027234C"/>
    <w:rsid w:val="00294F0A"/>
    <w:rsid w:val="002953DC"/>
    <w:rsid w:val="002A071A"/>
    <w:rsid w:val="002B27E0"/>
    <w:rsid w:val="002E1DA0"/>
    <w:rsid w:val="00345E2F"/>
    <w:rsid w:val="00395C92"/>
    <w:rsid w:val="003A7012"/>
    <w:rsid w:val="003B18D1"/>
    <w:rsid w:val="003B1A0D"/>
    <w:rsid w:val="003E31CF"/>
    <w:rsid w:val="003E37EB"/>
    <w:rsid w:val="0040492C"/>
    <w:rsid w:val="004330BE"/>
    <w:rsid w:val="0043612E"/>
    <w:rsid w:val="004B2539"/>
    <w:rsid w:val="004B5305"/>
    <w:rsid w:val="004D09EA"/>
    <w:rsid w:val="004D610E"/>
    <w:rsid w:val="005544DC"/>
    <w:rsid w:val="00586FE4"/>
    <w:rsid w:val="00592475"/>
    <w:rsid w:val="005A4CC2"/>
    <w:rsid w:val="005C015F"/>
    <w:rsid w:val="005D1E36"/>
    <w:rsid w:val="005D5034"/>
    <w:rsid w:val="005E7C13"/>
    <w:rsid w:val="006056AF"/>
    <w:rsid w:val="006469D3"/>
    <w:rsid w:val="00647913"/>
    <w:rsid w:val="006941BF"/>
    <w:rsid w:val="006A003F"/>
    <w:rsid w:val="006D0221"/>
    <w:rsid w:val="006E048B"/>
    <w:rsid w:val="006E33D2"/>
    <w:rsid w:val="006F08BC"/>
    <w:rsid w:val="00730630"/>
    <w:rsid w:val="0075344B"/>
    <w:rsid w:val="007B11A7"/>
    <w:rsid w:val="007C5E0E"/>
    <w:rsid w:val="007E4B20"/>
    <w:rsid w:val="0080276B"/>
    <w:rsid w:val="00804A31"/>
    <w:rsid w:val="008179B9"/>
    <w:rsid w:val="00832E8A"/>
    <w:rsid w:val="0086071F"/>
    <w:rsid w:val="008B35CF"/>
    <w:rsid w:val="008C0F4C"/>
    <w:rsid w:val="008D747A"/>
    <w:rsid w:val="0092242F"/>
    <w:rsid w:val="0094567E"/>
    <w:rsid w:val="00995BF7"/>
    <w:rsid w:val="009A0B64"/>
    <w:rsid w:val="009D4683"/>
    <w:rsid w:val="009E1084"/>
    <w:rsid w:val="009F6F41"/>
    <w:rsid w:val="00A13224"/>
    <w:rsid w:val="00A20AC2"/>
    <w:rsid w:val="00A2693F"/>
    <w:rsid w:val="00A32E4B"/>
    <w:rsid w:val="00A41C58"/>
    <w:rsid w:val="00A45623"/>
    <w:rsid w:val="00A766D1"/>
    <w:rsid w:val="00A8224F"/>
    <w:rsid w:val="00A8596D"/>
    <w:rsid w:val="00AC78C8"/>
    <w:rsid w:val="00AD2FC0"/>
    <w:rsid w:val="00AE7C29"/>
    <w:rsid w:val="00B2631A"/>
    <w:rsid w:val="00B41D41"/>
    <w:rsid w:val="00B45378"/>
    <w:rsid w:val="00B72F48"/>
    <w:rsid w:val="00B830D5"/>
    <w:rsid w:val="00B95C1F"/>
    <w:rsid w:val="00B9680F"/>
    <w:rsid w:val="00BC075D"/>
    <w:rsid w:val="00BD4CEE"/>
    <w:rsid w:val="00C0080D"/>
    <w:rsid w:val="00C3501B"/>
    <w:rsid w:val="00C43641"/>
    <w:rsid w:val="00C5212B"/>
    <w:rsid w:val="00C962D6"/>
    <w:rsid w:val="00CB1B79"/>
    <w:rsid w:val="00D10D98"/>
    <w:rsid w:val="00D1124E"/>
    <w:rsid w:val="00D30348"/>
    <w:rsid w:val="00D9302B"/>
    <w:rsid w:val="00DC2FCA"/>
    <w:rsid w:val="00DE265D"/>
    <w:rsid w:val="00DF7F92"/>
    <w:rsid w:val="00E25440"/>
    <w:rsid w:val="00E32B40"/>
    <w:rsid w:val="00E41A18"/>
    <w:rsid w:val="00E866B7"/>
    <w:rsid w:val="00EC1008"/>
    <w:rsid w:val="00F667CF"/>
    <w:rsid w:val="00F94864"/>
    <w:rsid w:val="00FE135E"/>
    <w:rsid w:val="00FF287D"/>
    <w:rsid w:val="014D1B1B"/>
    <w:rsid w:val="01587605"/>
    <w:rsid w:val="01724BC9"/>
    <w:rsid w:val="02106B61"/>
    <w:rsid w:val="02A7342D"/>
    <w:rsid w:val="02D31E68"/>
    <w:rsid w:val="03590D98"/>
    <w:rsid w:val="03F4046E"/>
    <w:rsid w:val="04A502BF"/>
    <w:rsid w:val="053F2ADE"/>
    <w:rsid w:val="054A590E"/>
    <w:rsid w:val="05541FD6"/>
    <w:rsid w:val="05A00170"/>
    <w:rsid w:val="069B6982"/>
    <w:rsid w:val="06D52171"/>
    <w:rsid w:val="07DE5587"/>
    <w:rsid w:val="07E13A8D"/>
    <w:rsid w:val="08875AA8"/>
    <w:rsid w:val="08CC545E"/>
    <w:rsid w:val="09090BAC"/>
    <w:rsid w:val="09B51A32"/>
    <w:rsid w:val="0A387D89"/>
    <w:rsid w:val="0B716E6D"/>
    <w:rsid w:val="0C0A629C"/>
    <w:rsid w:val="0C2C6E59"/>
    <w:rsid w:val="0C491FBE"/>
    <w:rsid w:val="0C783895"/>
    <w:rsid w:val="0CC62F81"/>
    <w:rsid w:val="0D0641C8"/>
    <w:rsid w:val="0D941348"/>
    <w:rsid w:val="0DEE7FE3"/>
    <w:rsid w:val="0EF2207A"/>
    <w:rsid w:val="100C7D85"/>
    <w:rsid w:val="10551ABD"/>
    <w:rsid w:val="10607D70"/>
    <w:rsid w:val="11696D46"/>
    <w:rsid w:val="1208149D"/>
    <w:rsid w:val="121764BB"/>
    <w:rsid w:val="132B3F51"/>
    <w:rsid w:val="13337B33"/>
    <w:rsid w:val="1356688C"/>
    <w:rsid w:val="13844489"/>
    <w:rsid w:val="1448146E"/>
    <w:rsid w:val="15703732"/>
    <w:rsid w:val="15907D44"/>
    <w:rsid w:val="160D4DFE"/>
    <w:rsid w:val="161F4B27"/>
    <w:rsid w:val="16377F07"/>
    <w:rsid w:val="163F3253"/>
    <w:rsid w:val="165755EA"/>
    <w:rsid w:val="16E7609B"/>
    <w:rsid w:val="176F2E91"/>
    <w:rsid w:val="178F6EE1"/>
    <w:rsid w:val="17EA68B1"/>
    <w:rsid w:val="18ED5369"/>
    <w:rsid w:val="196A0DB4"/>
    <w:rsid w:val="19BC78A5"/>
    <w:rsid w:val="19C91EFD"/>
    <w:rsid w:val="1A771A1B"/>
    <w:rsid w:val="1AAE0B28"/>
    <w:rsid w:val="1AFB32CF"/>
    <w:rsid w:val="1B355B0B"/>
    <w:rsid w:val="1CB95B4E"/>
    <w:rsid w:val="1D0F0FA6"/>
    <w:rsid w:val="1D427CE7"/>
    <w:rsid w:val="1D6818EA"/>
    <w:rsid w:val="1DD37DB6"/>
    <w:rsid w:val="1DEC4830"/>
    <w:rsid w:val="1E665DD1"/>
    <w:rsid w:val="1ECB57F3"/>
    <w:rsid w:val="1ED90E64"/>
    <w:rsid w:val="1EFF6F78"/>
    <w:rsid w:val="1FCF4EDC"/>
    <w:rsid w:val="20434136"/>
    <w:rsid w:val="204B598E"/>
    <w:rsid w:val="2121304C"/>
    <w:rsid w:val="21DC0226"/>
    <w:rsid w:val="22241D27"/>
    <w:rsid w:val="22B52294"/>
    <w:rsid w:val="23323679"/>
    <w:rsid w:val="239671E5"/>
    <w:rsid w:val="23A50A14"/>
    <w:rsid w:val="23DA04A9"/>
    <w:rsid w:val="241D61D7"/>
    <w:rsid w:val="24420AF6"/>
    <w:rsid w:val="244D185F"/>
    <w:rsid w:val="24AD42A0"/>
    <w:rsid w:val="262428FB"/>
    <w:rsid w:val="268D2C87"/>
    <w:rsid w:val="282F25B9"/>
    <w:rsid w:val="284112CE"/>
    <w:rsid w:val="286E1F48"/>
    <w:rsid w:val="288D5ED3"/>
    <w:rsid w:val="28FB56BA"/>
    <w:rsid w:val="2A041B1B"/>
    <w:rsid w:val="2A302EAE"/>
    <w:rsid w:val="2AA62BFB"/>
    <w:rsid w:val="2C117D94"/>
    <w:rsid w:val="2C515116"/>
    <w:rsid w:val="2D51633C"/>
    <w:rsid w:val="2D5C6F18"/>
    <w:rsid w:val="2D951CD7"/>
    <w:rsid w:val="2D9E06D1"/>
    <w:rsid w:val="2E1B40DA"/>
    <w:rsid w:val="2E841961"/>
    <w:rsid w:val="2F961B26"/>
    <w:rsid w:val="2FAC1D66"/>
    <w:rsid w:val="2FBF4B31"/>
    <w:rsid w:val="2FF0628E"/>
    <w:rsid w:val="30556A14"/>
    <w:rsid w:val="305B054C"/>
    <w:rsid w:val="305B0B19"/>
    <w:rsid w:val="30874FE6"/>
    <w:rsid w:val="30F35871"/>
    <w:rsid w:val="317B77AD"/>
    <w:rsid w:val="31E50C1D"/>
    <w:rsid w:val="331C0296"/>
    <w:rsid w:val="332630ED"/>
    <w:rsid w:val="336B13DE"/>
    <w:rsid w:val="33837B6A"/>
    <w:rsid w:val="33B56607"/>
    <w:rsid w:val="33C24A0F"/>
    <w:rsid w:val="34154E02"/>
    <w:rsid w:val="343765CD"/>
    <w:rsid w:val="349C1372"/>
    <w:rsid w:val="353458CC"/>
    <w:rsid w:val="358912FE"/>
    <w:rsid w:val="370825DA"/>
    <w:rsid w:val="38863F74"/>
    <w:rsid w:val="39DC65C0"/>
    <w:rsid w:val="3A3D502F"/>
    <w:rsid w:val="3A465815"/>
    <w:rsid w:val="3AA83EF3"/>
    <w:rsid w:val="3B4C36F6"/>
    <w:rsid w:val="3B5962B6"/>
    <w:rsid w:val="3D1E6312"/>
    <w:rsid w:val="3D7D41C2"/>
    <w:rsid w:val="3DCC23E1"/>
    <w:rsid w:val="3E81033E"/>
    <w:rsid w:val="3EFB0B05"/>
    <w:rsid w:val="3F6619DF"/>
    <w:rsid w:val="404F27B0"/>
    <w:rsid w:val="40637080"/>
    <w:rsid w:val="406F5F34"/>
    <w:rsid w:val="40761CFB"/>
    <w:rsid w:val="40A0433B"/>
    <w:rsid w:val="41470E54"/>
    <w:rsid w:val="41E95A89"/>
    <w:rsid w:val="421F3C62"/>
    <w:rsid w:val="42765D39"/>
    <w:rsid w:val="42D17B63"/>
    <w:rsid w:val="43067F2D"/>
    <w:rsid w:val="43480F1A"/>
    <w:rsid w:val="438E1E8C"/>
    <w:rsid w:val="43E67FBA"/>
    <w:rsid w:val="43E70341"/>
    <w:rsid w:val="43F61D1A"/>
    <w:rsid w:val="44483687"/>
    <w:rsid w:val="44DF1F42"/>
    <w:rsid w:val="44E54492"/>
    <w:rsid w:val="456E2D1E"/>
    <w:rsid w:val="45AF36E7"/>
    <w:rsid w:val="46317218"/>
    <w:rsid w:val="467E2385"/>
    <w:rsid w:val="46A3521A"/>
    <w:rsid w:val="474D1B5A"/>
    <w:rsid w:val="479E5861"/>
    <w:rsid w:val="47D01E76"/>
    <w:rsid w:val="488D6B47"/>
    <w:rsid w:val="48A3285B"/>
    <w:rsid w:val="4AAA6B59"/>
    <w:rsid w:val="4B2E7A5F"/>
    <w:rsid w:val="4B7E15FE"/>
    <w:rsid w:val="4B882D8A"/>
    <w:rsid w:val="4B9A122F"/>
    <w:rsid w:val="4BC47239"/>
    <w:rsid w:val="4C013CF0"/>
    <w:rsid w:val="4C144149"/>
    <w:rsid w:val="4CEA236C"/>
    <w:rsid w:val="4D8A4087"/>
    <w:rsid w:val="4DA75CFD"/>
    <w:rsid w:val="4E681793"/>
    <w:rsid w:val="4EC1452A"/>
    <w:rsid w:val="4EF16780"/>
    <w:rsid w:val="4FB51C5F"/>
    <w:rsid w:val="4FE43BF6"/>
    <w:rsid w:val="50B702E3"/>
    <w:rsid w:val="50D42923"/>
    <w:rsid w:val="51C47A59"/>
    <w:rsid w:val="51FF34DC"/>
    <w:rsid w:val="524E1490"/>
    <w:rsid w:val="52E973AC"/>
    <w:rsid w:val="53AE67F9"/>
    <w:rsid w:val="53B97701"/>
    <w:rsid w:val="549F6A14"/>
    <w:rsid w:val="54BD5EA5"/>
    <w:rsid w:val="54D1361A"/>
    <w:rsid w:val="54DE78C9"/>
    <w:rsid w:val="54EB0DB7"/>
    <w:rsid w:val="5516492B"/>
    <w:rsid w:val="552F223A"/>
    <w:rsid w:val="55792E3D"/>
    <w:rsid w:val="55810562"/>
    <w:rsid w:val="558877A6"/>
    <w:rsid w:val="55933FF1"/>
    <w:rsid w:val="559724F3"/>
    <w:rsid w:val="56932510"/>
    <w:rsid w:val="56BD41AC"/>
    <w:rsid w:val="56CE2B10"/>
    <w:rsid w:val="56F26D7A"/>
    <w:rsid w:val="572F289E"/>
    <w:rsid w:val="57952044"/>
    <w:rsid w:val="58124A68"/>
    <w:rsid w:val="58580761"/>
    <w:rsid w:val="587C0230"/>
    <w:rsid w:val="592D2D9D"/>
    <w:rsid w:val="59A831DE"/>
    <w:rsid w:val="59CE6E09"/>
    <w:rsid w:val="59E70E7F"/>
    <w:rsid w:val="5A52740B"/>
    <w:rsid w:val="5AAA45A9"/>
    <w:rsid w:val="5B280CAA"/>
    <w:rsid w:val="5CA32C0E"/>
    <w:rsid w:val="5CD71C3D"/>
    <w:rsid w:val="5D7C2E55"/>
    <w:rsid w:val="5D7F2D99"/>
    <w:rsid w:val="5E237770"/>
    <w:rsid w:val="5EEE5BEF"/>
    <w:rsid w:val="5F88611C"/>
    <w:rsid w:val="60344AA5"/>
    <w:rsid w:val="60B646B4"/>
    <w:rsid w:val="60C07345"/>
    <w:rsid w:val="61221F34"/>
    <w:rsid w:val="61292137"/>
    <w:rsid w:val="62353513"/>
    <w:rsid w:val="62C0582F"/>
    <w:rsid w:val="62F86C77"/>
    <w:rsid w:val="62FE5487"/>
    <w:rsid w:val="631F76AB"/>
    <w:rsid w:val="63346AD5"/>
    <w:rsid w:val="633D7CF4"/>
    <w:rsid w:val="63894425"/>
    <w:rsid w:val="63A076B5"/>
    <w:rsid w:val="63AA1D98"/>
    <w:rsid w:val="645858DC"/>
    <w:rsid w:val="6485430C"/>
    <w:rsid w:val="64876406"/>
    <w:rsid w:val="64B36AE7"/>
    <w:rsid w:val="65670AA1"/>
    <w:rsid w:val="658C7682"/>
    <w:rsid w:val="65A0692F"/>
    <w:rsid w:val="678656E7"/>
    <w:rsid w:val="67CF526D"/>
    <w:rsid w:val="683740DB"/>
    <w:rsid w:val="684E3A92"/>
    <w:rsid w:val="68C822E8"/>
    <w:rsid w:val="68D10A82"/>
    <w:rsid w:val="68EA483B"/>
    <w:rsid w:val="69300ADC"/>
    <w:rsid w:val="69C533C0"/>
    <w:rsid w:val="6ABB72BD"/>
    <w:rsid w:val="6B297B01"/>
    <w:rsid w:val="6C015C52"/>
    <w:rsid w:val="6C132929"/>
    <w:rsid w:val="6C1F7259"/>
    <w:rsid w:val="6C5E0E49"/>
    <w:rsid w:val="6C5F3F7F"/>
    <w:rsid w:val="6D181417"/>
    <w:rsid w:val="6D8B63A4"/>
    <w:rsid w:val="6D967950"/>
    <w:rsid w:val="6DF20A0C"/>
    <w:rsid w:val="6EEE3F1B"/>
    <w:rsid w:val="6F140B0F"/>
    <w:rsid w:val="6FE81BA0"/>
    <w:rsid w:val="70173E49"/>
    <w:rsid w:val="70CB37A1"/>
    <w:rsid w:val="70CB60D4"/>
    <w:rsid w:val="70CC0F13"/>
    <w:rsid w:val="70ED043D"/>
    <w:rsid w:val="70F127CA"/>
    <w:rsid w:val="71136029"/>
    <w:rsid w:val="716219FD"/>
    <w:rsid w:val="71A66E6F"/>
    <w:rsid w:val="71D849D2"/>
    <w:rsid w:val="720B0A7C"/>
    <w:rsid w:val="72D00FF4"/>
    <w:rsid w:val="733A728F"/>
    <w:rsid w:val="736173B5"/>
    <w:rsid w:val="73A906BB"/>
    <w:rsid w:val="73EF74E6"/>
    <w:rsid w:val="74826361"/>
    <w:rsid w:val="74862F09"/>
    <w:rsid w:val="74D73178"/>
    <w:rsid w:val="75115858"/>
    <w:rsid w:val="76193F1D"/>
    <w:rsid w:val="761C468D"/>
    <w:rsid w:val="76B36B09"/>
    <w:rsid w:val="777E3689"/>
    <w:rsid w:val="780040E5"/>
    <w:rsid w:val="781456CA"/>
    <w:rsid w:val="796467CA"/>
    <w:rsid w:val="798C272D"/>
    <w:rsid w:val="79B32A0C"/>
    <w:rsid w:val="79ED3C95"/>
    <w:rsid w:val="79FB7746"/>
    <w:rsid w:val="7A221B50"/>
    <w:rsid w:val="7A866268"/>
    <w:rsid w:val="7B0C323B"/>
    <w:rsid w:val="7B524B5B"/>
    <w:rsid w:val="7B8D07FD"/>
    <w:rsid w:val="7BAA147A"/>
    <w:rsid w:val="7BD2591C"/>
    <w:rsid w:val="7C4E30C0"/>
    <w:rsid w:val="7C871918"/>
    <w:rsid w:val="7D0B4E5A"/>
    <w:rsid w:val="7DC4395D"/>
    <w:rsid w:val="7DE41EB1"/>
    <w:rsid w:val="7E4F7ED1"/>
    <w:rsid w:val="7F107457"/>
    <w:rsid w:val="7F5D0F37"/>
    <w:rsid w:val="7F6B1516"/>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4"/>
    <w:unhideWhenUsed/>
    <w:qFormat/>
    <w:uiPriority w:val="99"/>
    <w:rPr>
      <w:b/>
      <w:bCs/>
    </w:rPr>
  </w:style>
  <w:style w:type="paragraph" w:styleId="3">
    <w:name w:val="annotation text"/>
    <w:basedOn w:val="1"/>
    <w:link w:val="13"/>
    <w:unhideWhenUsed/>
    <w:qFormat/>
    <w:uiPriority w:val="99"/>
    <w:pPr>
      <w:jc w:val="left"/>
    </w:pPr>
  </w:style>
  <w:style w:type="paragraph" w:styleId="4">
    <w:name w:val="Balloon Text"/>
    <w:basedOn w:val="1"/>
    <w:link w:val="12"/>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unhideWhenUsed/>
    <w:qFormat/>
    <w:uiPriority w:val="99"/>
    <w:rPr>
      <w:sz w:val="21"/>
      <w:szCs w:val="21"/>
    </w:rPr>
  </w:style>
  <w:style w:type="character" w:customStyle="1" w:styleId="10">
    <w:name w:val="页眉 Char"/>
    <w:basedOn w:val="7"/>
    <w:link w:val="6"/>
    <w:semiHidden/>
    <w:qFormat/>
    <w:uiPriority w:val="99"/>
    <w:rPr>
      <w:rFonts w:ascii="Times New Roman" w:hAnsi="Times New Roman" w:eastAsia="宋体" w:cs="Times New Roman"/>
      <w:sz w:val="18"/>
      <w:szCs w:val="18"/>
    </w:rPr>
  </w:style>
  <w:style w:type="character" w:customStyle="1" w:styleId="11">
    <w:name w:val="页脚 Char"/>
    <w:basedOn w:val="7"/>
    <w:link w:val="5"/>
    <w:semiHidden/>
    <w:qFormat/>
    <w:uiPriority w:val="99"/>
    <w:rPr>
      <w:rFonts w:ascii="Times New Roman" w:hAnsi="Times New Roman" w:eastAsia="宋体" w:cs="Times New Roman"/>
      <w:sz w:val="18"/>
      <w:szCs w:val="18"/>
    </w:rPr>
  </w:style>
  <w:style w:type="character" w:customStyle="1" w:styleId="12">
    <w:name w:val="批注框文本 Char"/>
    <w:basedOn w:val="7"/>
    <w:link w:val="4"/>
    <w:semiHidden/>
    <w:qFormat/>
    <w:uiPriority w:val="99"/>
    <w:rPr>
      <w:rFonts w:ascii="Times New Roman" w:hAnsi="Times New Roman" w:eastAsia="宋体" w:cs="Times New Roman"/>
      <w:kern w:val="2"/>
      <w:sz w:val="18"/>
      <w:szCs w:val="18"/>
    </w:rPr>
  </w:style>
  <w:style w:type="character" w:customStyle="1" w:styleId="13">
    <w:name w:val="批注文字 Char"/>
    <w:basedOn w:val="7"/>
    <w:link w:val="3"/>
    <w:semiHidden/>
    <w:qFormat/>
    <w:uiPriority w:val="99"/>
    <w:rPr>
      <w:rFonts w:ascii="Times New Roman" w:hAnsi="Times New Roman" w:eastAsia="宋体" w:cs="Times New Roman"/>
      <w:kern w:val="2"/>
      <w:sz w:val="21"/>
      <w:szCs w:val="24"/>
    </w:rPr>
  </w:style>
  <w:style w:type="character" w:customStyle="1" w:styleId="14">
    <w:name w:val="批注主题 Char"/>
    <w:basedOn w:val="13"/>
    <w:link w:val="2"/>
    <w:semiHidden/>
    <w:qFormat/>
    <w:uiPriority w:val="99"/>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5</Pages>
  <Words>355</Words>
  <Characters>2026</Characters>
  <Lines>16</Lines>
  <Paragraphs>4</Paragraphs>
  <TotalTime>0</TotalTime>
  <ScaleCrop>false</ScaleCrop>
  <LinksUpToDate>false</LinksUpToDate>
  <CharactersWithSpaces>2377</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2016-10-21T03:59:00Z</dcterms:created>
  <dc:creator>wangchonghu</dc:creator>
  <cp:lastModifiedBy>gjy</cp:lastModifiedBy>
  <dcterms:modified xsi:type="dcterms:W3CDTF">2016-10-28T01:45:47Z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