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宋体" w:hAnsi="宋体"/>
          <w:b/>
          <w:color w:val="000000"/>
          <w:sz w:val="44"/>
          <w:szCs w:val="44"/>
          <w:lang w:val="en-US"/>
        </w:rPr>
      </w:pPr>
      <w:r>
        <w:rPr>
          <w:rFonts w:hint="eastAsia" w:ascii="宋体" w:hAnsi="宋体"/>
          <w:b/>
          <w:color w:val="000000"/>
          <w:sz w:val="44"/>
          <w:szCs w:val="44"/>
        </w:rPr>
        <w:t>《</w:t>
      </w:r>
      <w:r>
        <w:rPr>
          <w:rFonts w:ascii="宋体" w:hAnsi="宋体"/>
          <w:b/>
          <w:color w:val="000000"/>
          <w:sz w:val="44"/>
          <w:szCs w:val="44"/>
        </w:rPr>
        <w:t>以财务报告为目的的评估指南</w:t>
      </w:r>
      <w:r>
        <w:rPr>
          <w:rFonts w:hint="eastAsia" w:ascii="宋体" w:hAnsi="宋体"/>
          <w:b/>
          <w:color w:val="000000"/>
          <w:sz w:val="44"/>
          <w:szCs w:val="44"/>
        </w:rPr>
        <w:t>》（</w:t>
      </w:r>
      <w:r>
        <w:rPr>
          <w:rFonts w:hint="eastAsia" w:ascii="华文中宋" w:hAnsi="华文中宋" w:eastAsia="华文中宋"/>
          <w:b/>
          <w:color w:val="000000"/>
          <w:sz w:val="44"/>
          <w:szCs w:val="44"/>
        </w:rPr>
        <w:t>修订征求意见稿</w:t>
      </w:r>
      <w:r>
        <w:rPr>
          <w:rFonts w:hint="eastAsia" w:ascii="宋体" w:hAnsi="宋体"/>
          <w:b/>
          <w:color w:val="000000"/>
          <w:sz w:val="44"/>
          <w:szCs w:val="44"/>
        </w:rPr>
        <w:t>）</w:t>
      </w:r>
      <w:r>
        <w:rPr>
          <w:rFonts w:hint="eastAsia" w:ascii="宋体" w:hAnsi="宋体"/>
          <w:b/>
          <w:color w:val="000000"/>
          <w:sz w:val="44"/>
          <w:szCs w:val="44"/>
          <w:lang w:val="en-US" w:eastAsia="zh-CN"/>
        </w:rPr>
        <w:t>主要修订内容介绍</w:t>
      </w:r>
    </w:p>
    <w:p>
      <w:pPr>
        <w:spacing w:line="480" w:lineRule="auto"/>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一、整体修改的主要条款</w:t>
      </w:r>
    </w:p>
    <w:p>
      <w:pPr>
        <w:spacing w:line="480" w:lineRule="auto"/>
        <w:ind w:firstLine="640" w:firstLineChars="200"/>
        <w:rPr>
          <w:rFonts w:ascii="仿宋" w:hAnsi="仿宋" w:eastAsia="仿宋" w:cs="仿宋"/>
          <w:bCs/>
          <w:sz w:val="32"/>
          <w:szCs w:val="32"/>
        </w:rPr>
      </w:pPr>
      <w:r>
        <w:rPr>
          <w:rFonts w:hint="eastAsia" w:ascii="仿宋" w:hAnsi="仿宋" w:eastAsia="仿宋" w:cs="仿宋"/>
          <w:sz w:val="32"/>
          <w:szCs w:val="32"/>
        </w:rPr>
        <w:t>（一）原第七条“注册资产评估师独立开展评估业务，独立进行分析、估算并形成专业意见，不受任何部门、社会团体、企业和个人的影响。评估机构、注册资</w:t>
      </w:r>
      <w:bookmarkStart w:id="0" w:name="_GoBack"/>
      <w:bookmarkEnd w:id="0"/>
      <w:r>
        <w:rPr>
          <w:rFonts w:hint="eastAsia" w:ascii="仿宋" w:hAnsi="仿宋" w:eastAsia="仿宋" w:cs="仿宋"/>
          <w:sz w:val="32"/>
          <w:szCs w:val="32"/>
        </w:rPr>
        <w:t>产评估师、业务助理人员和外聘专家应当与委托方、其他相关当事方无利</w:t>
      </w:r>
      <w:r>
        <w:rPr>
          <w:rFonts w:hint="eastAsia" w:ascii="仿宋" w:hAnsi="仿宋" w:eastAsia="仿宋" w:cs="仿宋"/>
          <w:bCs/>
          <w:sz w:val="32"/>
          <w:szCs w:val="32"/>
        </w:rPr>
        <w:t>害关系。”修改为合并到现第六条“资产评估师</w:t>
      </w:r>
      <w:r>
        <w:rPr>
          <w:rFonts w:hint="eastAsia" w:ascii="仿宋" w:hAnsi="仿宋" w:eastAsia="仿宋" w:cs="仿宋"/>
          <w:bCs/>
          <w:sz w:val="32"/>
          <w:szCs w:val="32"/>
          <w:lang w:eastAsia="zh-CN"/>
        </w:rPr>
        <w:t>和其他资产评估专业人员</w:t>
      </w:r>
      <w:r>
        <w:rPr>
          <w:rFonts w:hint="eastAsia" w:ascii="仿宋" w:hAnsi="仿宋" w:eastAsia="仿宋" w:cs="仿宋"/>
          <w:bCs/>
          <w:sz w:val="32"/>
          <w:szCs w:val="32"/>
        </w:rPr>
        <w:t>应当恪守独立、客观、公正的原则，保持应有的职业谨慎，不受委托人或相关当事人的非法干预，独立进行分析、估算并形成专业意见，不得出现对评估结果具有重要影响的实质性疏漏或重大错误。”。</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修改理由：与评估法和基本准则保持一致。</w:t>
      </w:r>
    </w:p>
    <w:p>
      <w:pPr>
        <w:spacing w:line="480" w:lineRule="auto"/>
        <w:ind w:firstLine="640" w:firstLineChars="200"/>
        <w:rPr>
          <w:rFonts w:ascii="仿宋" w:hAnsi="仿宋" w:eastAsia="仿宋" w:cs="仿宋"/>
          <w:bCs/>
          <w:sz w:val="32"/>
          <w:szCs w:val="32"/>
        </w:rPr>
      </w:pPr>
      <w:r>
        <w:rPr>
          <w:rFonts w:hint="eastAsia" w:ascii="仿宋" w:hAnsi="仿宋" w:eastAsia="仿宋" w:cs="仿宋"/>
          <w:sz w:val="32"/>
          <w:szCs w:val="32"/>
        </w:rPr>
        <w:t>（二）原第九条第二款“当评估程序或条件受到限</w:t>
      </w:r>
      <w:r>
        <w:rPr>
          <w:rFonts w:hint="eastAsia" w:ascii="仿宋" w:hAnsi="仿宋" w:eastAsia="仿宋" w:cs="仿宋"/>
          <w:bCs/>
          <w:sz w:val="32"/>
          <w:szCs w:val="32"/>
        </w:rPr>
        <w:t>制，注册资产评估师无法确信评估结论的合理性，不得出具评估报告，并应当提醒委托方关注公允价值或会计准则涉及的特定价值计量的可靠性。” 修改为现第八条第二款“当评估程序或条件受到限制，资产评估师</w:t>
      </w:r>
      <w:r>
        <w:rPr>
          <w:rFonts w:hint="eastAsia" w:ascii="仿宋" w:hAnsi="仿宋" w:eastAsia="仿宋" w:cs="仿宋"/>
          <w:bCs/>
          <w:sz w:val="32"/>
          <w:szCs w:val="32"/>
          <w:lang w:eastAsia="zh-CN"/>
        </w:rPr>
        <w:t>和其他资产评估专业人员</w:t>
      </w:r>
      <w:r>
        <w:rPr>
          <w:rFonts w:hint="eastAsia" w:ascii="仿宋" w:hAnsi="仿宋" w:eastAsia="仿宋" w:cs="仿宋"/>
          <w:bCs/>
          <w:sz w:val="32"/>
          <w:szCs w:val="32"/>
        </w:rPr>
        <w:t>无法合理形成评估结果，不得出具评估报告。”</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修改理由：与评估法和基本准则保持一致。</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（三）原第十三条“注册资产评估师执行以财务报告为目的的评估业务，应当获取充分信息，并进行审慎分析，确信信息来源是可靠和适当的。” 修改为现第十二条 “资产评估师</w:t>
      </w:r>
      <w:r>
        <w:rPr>
          <w:rFonts w:hint="eastAsia" w:ascii="仿宋" w:hAnsi="仿宋" w:eastAsia="仿宋" w:cs="仿宋"/>
          <w:sz w:val="32"/>
          <w:szCs w:val="32"/>
          <w:lang w:eastAsia="zh-CN"/>
        </w:rPr>
        <w:t>和其他资产评估专业人员</w:t>
      </w:r>
      <w:r>
        <w:rPr>
          <w:rFonts w:hint="eastAsia" w:ascii="仿宋" w:hAnsi="仿宋" w:eastAsia="仿宋" w:cs="仿宋"/>
          <w:sz w:val="32"/>
          <w:szCs w:val="32"/>
        </w:rPr>
        <w:t>应当依法对执行以财务报告为目的的评估业务中使用的有关文件、证明和资料进行核查和验证，按照核查验证资料的类别、来源、获取方式、对评估结果的影响程度等因素，选择适当的形式或实质核查验证方式，恰当利用信息。”</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修改理由：与评估法和基本准则保持一致。</w:t>
      </w:r>
    </w:p>
    <w:p>
      <w:pPr>
        <w:spacing w:line="480" w:lineRule="auto"/>
        <w:ind w:firstLine="640" w:firstLineChars="200"/>
        <w:rPr>
          <w:rFonts w:ascii="仿宋" w:hAnsi="仿宋" w:eastAsia="仿宋" w:cs="仿宋"/>
          <w:bCs/>
          <w:sz w:val="32"/>
          <w:szCs w:val="32"/>
        </w:rPr>
      </w:pPr>
      <w:r>
        <w:rPr>
          <w:rFonts w:hint="eastAsia" w:ascii="仿宋" w:hAnsi="仿宋" w:eastAsia="仿宋" w:cs="仿宋"/>
          <w:sz w:val="32"/>
          <w:szCs w:val="32"/>
        </w:rPr>
        <w:t>（四）原第九条第二款“当评估程序或条件受到限</w:t>
      </w:r>
      <w:r>
        <w:rPr>
          <w:rFonts w:hint="eastAsia" w:ascii="仿宋" w:hAnsi="仿宋" w:eastAsia="仿宋" w:cs="仿宋"/>
          <w:bCs/>
          <w:sz w:val="32"/>
          <w:szCs w:val="32"/>
        </w:rPr>
        <w:t>制，注册资产评估师无法确信评估结论的合理性，不得出具评估报告，并应当提醒委托方关注公允价值或会计准则涉及的特定价值计量的可靠性。” 修改为现第八条第二款“当评估程序或条件受到限制，资产评估师</w:t>
      </w:r>
      <w:r>
        <w:rPr>
          <w:rFonts w:hint="eastAsia" w:ascii="仿宋" w:hAnsi="仿宋" w:eastAsia="仿宋" w:cs="仿宋"/>
          <w:bCs/>
          <w:sz w:val="32"/>
          <w:szCs w:val="32"/>
          <w:lang w:eastAsia="zh-CN"/>
        </w:rPr>
        <w:t>和其他资产评估专业人员</w:t>
      </w:r>
      <w:r>
        <w:rPr>
          <w:rFonts w:hint="eastAsia" w:ascii="仿宋" w:hAnsi="仿宋" w:eastAsia="仿宋" w:cs="仿宋"/>
          <w:bCs/>
          <w:sz w:val="32"/>
          <w:szCs w:val="32"/>
        </w:rPr>
        <w:t>无法合理形成评估结果，不得出具评估报告。”</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修改理由：与评估法和基本准则保持一致。</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（五）原第二十三条 “注册资产评估师执行以财务报告为目的的评估业务，应当根据会计准则或相关会计核算与披露的具体要求、评估对象等相关条件明确价值类型，并对具体价值类型进行定义。” 修改为现第二十一条 “执行以财务报告为目的的评估业务，应当根据会计准则或相关会计核算与披露的具体要求、评估对象等相关条件明确价值类型。会计准则规定的计量属性可以理解为相对应的评估价值类型。”</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修改理由：避免歧义与会计准则避免冲突。</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（六）原第二十四条删除与现第二十一条合并。</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修改理由：避免歧义与会计准则避免冲突。</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（七）原第三十四条 “注册资产评估师运用收益法进行以财务报告为目的的评估，应当从委托方或相关当事方获取被评估对象的经营状况和相关收益的预测资料，按照会计与评估相关准则的规定，对其进行必要的分析、判断和调整，并应充分考虑未来各种情况可能发生的概率及其影响，不得采用不合理的假设。” 修改为现第三十一条 “运用收益法进行以财务报告为目的的评估，应当从委托人或相关当事人获取被评估对象的经营状况及相关收益预测资料，按照会计与评估相关准则的规定，与委托人及其他相关当事人讨论未来各种可能性，结合被评估单位的人力资源、技术水平、资本结构、经营状况、历史业绩、发展趋势，考虑宏观经济因素、所在行业现状与发展前景，分析未来收益预测资料与评估目的及评估假设的适用性。”</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修改理由：与企业价值准则表述相一致。</w:t>
      </w: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二、部分修改的主要条款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（一）原第十三条中的“</w:t>
      </w:r>
      <w:r>
        <w:rPr>
          <w:rFonts w:hint="eastAsia" w:ascii="仿宋" w:hAnsi="仿宋" w:eastAsia="仿宋" w:cs="仿宋"/>
          <w:b/>
          <w:bCs/>
          <w:sz w:val="32"/>
          <w:szCs w:val="32"/>
        </w:rPr>
        <w:t>注册资产评估师</w:t>
      </w:r>
      <w:r>
        <w:rPr>
          <w:rFonts w:hint="eastAsia" w:ascii="仿宋" w:hAnsi="仿宋" w:eastAsia="仿宋" w:cs="仿宋"/>
          <w:sz w:val="32"/>
          <w:szCs w:val="32"/>
        </w:rPr>
        <w:t>执行以财务报告为目的的评估业务，应当获取充分信息，并进行审慎分析，确信信息来源是可靠和适当的。”修改为现第十二条的“</w:t>
      </w:r>
      <w:r>
        <w:rPr>
          <w:rFonts w:hint="eastAsia" w:ascii="仿宋" w:hAnsi="仿宋" w:eastAsia="仿宋" w:cs="仿宋"/>
          <w:b/>
          <w:bCs/>
          <w:sz w:val="32"/>
          <w:szCs w:val="32"/>
        </w:rPr>
        <w:t>资产评估师</w:t>
      </w:r>
      <w:r>
        <w:rPr>
          <w:rFonts w:hint="eastAsia" w:ascii="仿宋" w:hAnsi="仿宋" w:eastAsia="仿宋" w:cs="仿宋"/>
          <w:b/>
          <w:bCs/>
          <w:sz w:val="32"/>
          <w:szCs w:val="32"/>
          <w:lang w:eastAsia="zh-CN"/>
        </w:rPr>
        <w:t>和其他资产评估专业人员</w:t>
      </w:r>
      <w:r>
        <w:rPr>
          <w:rFonts w:hint="eastAsia" w:ascii="仿宋" w:hAnsi="仿宋" w:eastAsia="仿宋" w:cs="仿宋"/>
          <w:b/>
          <w:bCs/>
          <w:sz w:val="32"/>
          <w:szCs w:val="32"/>
        </w:rPr>
        <w:t>应当依法对</w:t>
      </w:r>
      <w:r>
        <w:rPr>
          <w:rFonts w:hint="eastAsia" w:ascii="仿宋" w:hAnsi="仿宋" w:eastAsia="仿宋" w:cs="仿宋"/>
          <w:sz w:val="32"/>
          <w:szCs w:val="32"/>
        </w:rPr>
        <w:t>执行以财务报告为目的的评估业务</w:t>
      </w:r>
      <w:r>
        <w:rPr>
          <w:rFonts w:hint="eastAsia" w:ascii="仿宋" w:hAnsi="仿宋" w:eastAsia="仿宋" w:cs="仿宋"/>
          <w:b/>
          <w:bCs/>
          <w:sz w:val="32"/>
          <w:szCs w:val="32"/>
        </w:rPr>
        <w:t>中使用的有关文件、证明和资料进行核查和验证，按照核查验证资料的类别、来源、获取方式、对评估结果的影响程度等因素，选择适当的形式或实质核查验证方式，恰当利用信息。</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修改理由：与基本准则保持一致</w:t>
      </w:r>
      <w:r>
        <w:rPr>
          <w:rFonts w:hint="eastAsia" w:ascii="仿宋" w:hAnsi="仿宋" w:eastAsia="仿宋" w:cs="仿宋"/>
          <w:sz w:val="32"/>
          <w:szCs w:val="32"/>
          <w:lang w:eastAsia="zh-CN"/>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（二）原第十四条中的“</w:t>
      </w:r>
      <w:r>
        <w:rPr>
          <w:rFonts w:hint="eastAsia" w:ascii="仿宋" w:hAnsi="仿宋" w:eastAsia="仿宋" w:cs="仿宋"/>
          <w:b/>
          <w:bCs/>
          <w:sz w:val="32"/>
          <w:szCs w:val="32"/>
        </w:rPr>
        <w:t>注册资产评估师</w:t>
      </w:r>
      <w:r>
        <w:rPr>
          <w:rFonts w:hint="eastAsia" w:ascii="仿宋" w:hAnsi="仿宋" w:eastAsia="仿宋" w:cs="仿宋"/>
          <w:sz w:val="32"/>
          <w:szCs w:val="32"/>
        </w:rPr>
        <w:t>应当根据评估业务具体情况确定相关评估假设，并</w:t>
      </w:r>
      <w:r>
        <w:rPr>
          <w:rFonts w:hint="eastAsia" w:ascii="仿宋" w:hAnsi="仿宋" w:eastAsia="仿宋" w:cs="仿宋"/>
          <w:b/>
          <w:bCs/>
          <w:sz w:val="32"/>
          <w:szCs w:val="32"/>
        </w:rPr>
        <w:t>确信相关假设有合理的支持依据</w:t>
      </w:r>
      <w:r>
        <w:rPr>
          <w:rFonts w:hint="eastAsia" w:ascii="仿宋" w:hAnsi="仿宋" w:eastAsia="仿宋" w:cs="仿宋"/>
          <w:sz w:val="32"/>
          <w:szCs w:val="32"/>
        </w:rPr>
        <w:t>。”修改为现第十三条的“</w:t>
      </w:r>
      <w:r>
        <w:rPr>
          <w:rFonts w:hint="eastAsia" w:ascii="仿宋" w:hAnsi="仿宋" w:eastAsia="仿宋" w:cs="仿宋"/>
          <w:b/>
          <w:bCs/>
          <w:sz w:val="32"/>
          <w:szCs w:val="32"/>
        </w:rPr>
        <w:t>资产评估师</w:t>
      </w:r>
      <w:r>
        <w:rPr>
          <w:rFonts w:hint="eastAsia" w:ascii="仿宋" w:hAnsi="仿宋" w:eastAsia="仿宋" w:cs="仿宋"/>
          <w:b/>
          <w:bCs/>
          <w:sz w:val="32"/>
          <w:szCs w:val="32"/>
          <w:lang w:eastAsia="zh-CN"/>
        </w:rPr>
        <w:t>和其他资产评估专业人员</w:t>
      </w:r>
      <w:r>
        <w:rPr>
          <w:rFonts w:hint="eastAsia" w:ascii="仿宋" w:hAnsi="仿宋" w:eastAsia="仿宋" w:cs="仿宋"/>
          <w:sz w:val="32"/>
          <w:szCs w:val="32"/>
        </w:rPr>
        <w:t>应当根据评估业务具体情况确定相关评估假设，并</w:t>
      </w:r>
      <w:r>
        <w:rPr>
          <w:rFonts w:hint="eastAsia" w:ascii="仿宋" w:hAnsi="仿宋" w:eastAsia="仿宋" w:cs="仿宋"/>
          <w:b/>
          <w:bCs/>
          <w:sz w:val="32"/>
          <w:szCs w:val="32"/>
        </w:rPr>
        <w:t>对其相关依据的合理性进行核查验证</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修改理由：与基本准则保持一致</w:t>
      </w:r>
      <w:r>
        <w:rPr>
          <w:rFonts w:hint="eastAsia" w:ascii="仿宋" w:hAnsi="仿宋" w:eastAsia="仿宋" w:cs="仿宋"/>
          <w:sz w:val="32"/>
          <w:szCs w:val="32"/>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DA9"/>
    <w:rsid w:val="000B5D13"/>
    <w:rsid w:val="000C6977"/>
    <w:rsid w:val="00113678"/>
    <w:rsid w:val="00145136"/>
    <w:rsid w:val="00197DA9"/>
    <w:rsid w:val="001B50D4"/>
    <w:rsid w:val="001C577D"/>
    <w:rsid w:val="001F4E76"/>
    <w:rsid w:val="002366B7"/>
    <w:rsid w:val="002425A8"/>
    <w:rsid w:val="00245AB1"/>
    <w:rsid w:val="0027234C"/>
    <w:rsid w:val="002953DC"/>
    <w:rsid w:val="002E1DA0"/>
    <w:rsid w:val="00345E2F"/>
    <w:rsid w:val="003A7012"/>
    <w:rsid w:val="003B18D1"/>
    <w:rsid w:val="003B1A0D"/>
    <w:rsid w:val="003E31CF"/>
    <w:rsid w:val="003E37EB"/>
    <w:rsid w:val="0040492C"/>
    <w:rsid w:val="004B2539"/>
    <w:rsid w:val="004D610E"/>
    <w:rsid w:val="00541372"/>
    <w:rsid w:val="005544DC"/>
    <w:rsid w:val="00586FE4"/>
    <w:rsid w:val="00592475"/>
    <w:rsid w:val="005A4CC2"/>
    <w:rsid w:val="005D5034"/>
    <w:rsid w:val="005E7C13"/>
    <w:rsid w:val="006056AF"/>
    <w:rsid w:val="006941BF"/>
    <w:rsid w:val="006A003F"/>
    <w:rsid w:val="006E048B"/>
    <w:rsid w:val="0075344B"/>
    <w:rsid w:val="007B11A7"/>
    <w:rsid w:val="007C5E0E"/>
    <w:rsid w:val="007E4B20"/>
    <w:rsid w:val="00804A31"/>
    <w:rsid w:val="008179B9"/>
    <w:rsid w:val="00832E8A"/>
    <w:rsid w:val="008B35CF"/>
    <w:rsid w:val="008D747A"/>
    <w:rsid w:val="0094567E"/>
    <w:rsid w:val="00995BF7"/>
    <w:rsid w:val="009A0B64"/>
    <w:rsid w:val="009D4683"/>
    <w:rsid w:val="009E1084"/>
    <w:rsid w:val="009F6F41"/>
    <w:rsid w:val="00A13224"/>
    <w:rsid w:val="00A20AC2"/>
    <w:rsid w:val="00A2693F"/>
    <w:rsid w:val="00A45623"/>
    <w:rsid w:val="00A5707F"/>
    <w:rsid w:val="00A766D1"/>
    <w:rsid w:val="00A8224F"/>
    <w:rsid w:val="00AC78C8"/>
    <w:rsid w:val="00AD2FC0"/>
    <w:rsid w:val="00AE7C29"/>
    <w:rsid w:val="00B2631A"/>
    <w:rsid w:val="00B41D41"/>
    <w:rsid w:val="00B45378"/>
    <w:rsid w:val="00B72F48"/>
    <w:rsid w:val="00B95C1F"/>
    <w:rsid w:val="00BD4CEE"/>
    <w:rsid w:val="00C43641"/>
    <w:rsid w:val="00C962D6"/>
    <w:rsid w:val="00D10D98"/>
    <w:rsid w:val="00D1124E"/>
    <w:rsid w:val="00D40EEE"/>
    <w:rsid w:val="00DC2FCA"/>
    <w:rsid w:val="00DE265D"/>
    <w:rsid w:val="00DF5DA4"/>
    <w:rsid w:val="00E32B40"/>
    <w:rsid w:val="00E41A18"/>
    <w:rsid w:val="00E866B7"/>
    <w:rsid w:val="00EC1008"/>
    <w:rsid w:val="00F11BB1"/>
    <w:rsid w:val="00F94864"/>
    <w:rsid w:val="00FE135E"/>
    <w:rsid w:val="00FF287D"/>
    <w:rsid w:val="014D1B1B"/>
    <w:rsid w:val="01587605"/>
    <w:rsid w:val="01724BC9"/>
    <w:rsid w:val="02106B61"/>
    <w:rsid w:val="02A7342D"/>
    <w:rsid w:val="02D31E68"/>
    <w:rsid w:val="03590D98"/>
    <w:rsid w:val="03F4046E"/>
    <w:rsid w:val="04A502BF"/>
    <w:rsid w:val="053F2ADE"/>
    <w:rsid w:val="054A590E"/>
    <w:rsid w:val="05541FD6"/>
    <w:rsid w:val="05A00170"/>
    <w:rsid w:val="069B6982"/>
    <w:rsid w:val="07DE5587"/>
    <w:rsid w:val="07E13A8D"/>
    <w:rsid w:val="08875AA8"/>
    <w:rsid w:val="08CC545E"/>
    <w:rsid w:val="09090BAC"/>
    <w:rsid w:val="09B51A32"/>
    <w:rsid w:val="0A387D89"/>
    <w:rsid w:val="0B716E6D"/>
    <w:rsid w:val="0C0A629C"/>
    <w:rsid w:val="0C2C6E59"/>
    <w:rsid w:val="0C491FBE"/>
    <w:rsid w:val="0C783895"/>
    <w:rsid w:val="0CC62F81"/>
    <w:rsid w:val="0D0641C8"/>
    <w:rsid w:val="0D941348"/>
    <w:rsid w:val="0DEE7FE3"/>
    <w:rsid w:val="0EF2207A"/>
    <w:rsid w:val="100C7D85"/>
    <w:rsid w:val="10551ABD"/>
    <w:rsid w:val="10607D70"/>
    <w:rsid w:val="11696D46"/>
    <w:rsid w:val="1208149D"/>
    <w:rsid w:val="121764BB"/>
    <w:rsid w:val="132B3F51"/>
    <w:rsid w:val="13337B33"/>
    <w:rsid w:val="1356688C"/>
    <w:rsid w:val="13844489"/>
    <w:rsid w:val="1448146E"/>
    <w:rsid w:val="15703732"/>
    <w:rsid w:val="15907D44"/>
    <w:rsid w:val="160D4DFE"/>
    <w:rsid w:val="161F4B27"/>
    <w:rsid w:val="16377F07"/>
    <w:rsid w:val="163F3253"/>
    <w:rsid w:val="165755EA"/>
    <w:rsid w:val="16E7609B"/>
    <w:rsid w:val="176F2E91"/>
    <w:rsid w:val="178F6EE1"/>
    <w:rsid w:val="17EA68B1"/>
    <w:rsid w:val="18ED5369"/>
    <w:rsid w:val="196A0DB4"/>
    <w:rsid w:val="19BC78A5"/>
    <w:rsid w:val="19C91EFD"/>
    <w:rsid w:val="1A771A1B"/>
    <w:rsid w:val="1AAE0B28"/>
    <w:rsid w:val="1AFB32CF"/>
    <w:rsid w:val="1B355B0B"/>
    <w:rsid w:val="1CB95B4E"/>
    <w:rsid w:val="1D0F0FA6"/>
    <w:rsid w:val="1D427CE7"/>
    <w:rsid w:val="1D6818EA"/>
    <w:rsid w:val="1DD37DB6"/>
    <w:rsid w:val="1DEC4830"/>
    <w:rsid w:val="1E665DD1"/>
    <w:rsid w:val="1ECB57F3"/>
    <w:rsid w:val="1ED90E64"/>
    <w:rsid w:val="1EFF6F78"/>
    <w:rsid w:val="1FCF4EDC"/>
    <w:rsid w:val="20434136"/>
    <w:rsid w:val="204B598E"/>
    <w:rsid w:val="2121304C"/>
    <w:rsid w:val="21DC0226"/>
    <w:rsid w:val="22241D27"/>
    <w:rsid w:val="23323679"/>
    <w:rsid w:val="239671E5"/>
    <w:rsid w:val="23A50A14"/>
    <w:rsid w:val="23DA04A9"/>
    <w:rsid w:val="241D61D7"/>
    <w:rsid w:val="24420AF6"/>
    <w:rsid w:val="244D185F"/>
    <w:rsid w:val="24AD42A0"/>
    <w:rsid w:val="262428FB"/>
    <w:rsid w:val="268D2C87"/>
    <w:rsid w:val="282F25B9"/>
    <w:rsid w:val="284112CE"/>
    <w:rsid w:val="286E1F48"/>
    <w:rsid w:val="288D5ED3"/>
    <w:rsid w:val="28FB56BA"/>
    <w:rsid w:val="2A041B1B"/>
    <w:rsid w:val="2A302EAE"/>
    <w:rsid w:val="2AA62BFB"/>
    <w:rsid w:val="2C117D94"/>
    <w:rsid w:val="2C515116"/>
    <w:rsid w:val="2D51633C"/>
    <w:rsid w:val="2D5C6F18"/>
    <w:rsid w:val="2D951CD7"/>
    <w:rsid w:val="2D9E06D1"/>
    <w:rsid w:val="2E1B40DA"/>
    <w:rsid w:val="2E841961"/>
    <w:rsid w:val="2F961B26"/>
    <w:rsid w:val="2FAC1D66"/>
    <w:rsid w:val="2FBF4B31"/>
    <w:rsid w:val="2FF0628E"/>
    <w:rsid w:val="30556A14"/>
    <w:rsid w:val="305B054C"/>
    <w:rsid w:val="305B0B19"/>
    <w:rsid w:val="30874FE6"/>
    <w:rsid w:val="30F35871"/>
    <w:rsid w:val="317B77AD"/>
    <w:rsid w:val="31E50C1D"/>
    <w:rsid w:val="331C0296"/>
    <w:rsid w:val="332630ED"/>
    <w:rsid w:val="336B13DE"/>
    <w:rsid w:val="33837B6A"/>
    <w:rsid w:val="33B56607"/>
    <w:rsid w:val="33C24A0F"/>
    <w:rsid w:val="34154E02"/>
    <w:rsid w:val="343765CD"/>
    <w:rsid w:val="349C1372"/>
    <w:rsid w:val="351D3D4C"/>
    <w:rsid w:val="353458CC"/>
    <w:rsid w:val="358912FE"/>
    <w:rsid w:val="370825DA"/>
    <w:rsid w:val="38863F74"/>
    <w:rsid w:val="39695C91"/>
    <w:rsid w:val="39DC65C0"/>
    <w:rsid w:val="3A3D502F"/>
    <w:rsid w:val="3A465815"/>
    <w:rsid w:val="3A730484"/>
    <w:rsid w:val="3AA83EF3"/>
    <w:rsid w:val="3B4C36F6"/>
    <w:rsid w:val="3B5962B6"/>
    <w:rsid w:val="3D1E6312"/>
    <w:rsid w:val="3D7D41C2"/>
    <w:rsid w:val="3DCC23E1"/>
    <w:rsid w:val="3E81033E"/>
    <w:rsid w:val="3EFB0B05"/>
    <w:rsid w:val="3F6619DF"/>
    <w:rsid w:val="404F27B0"/>
    <w:rsid w:val="40637080"/>
    <w:rsid w:val="406F5F34"/>
    <w:rsid w:val="40761CFB"/>
    <w:rsid w:val="40A0433B"/>
    <w:rsid w:val="41470E54"/>
    <w:rsid w:val="41E95A89"/>
    <w:rsid w:val="421F3C62"/>
    <w:rsid w:val="42765D39"/>
    <w:rsid w:val="42D17B63"/>
    <w:rsid w:val="43067F2D"/>
    <w:rsid w:val="43480F1A"/>
    <w:rsid w:val="438E1E8C"/>
    <w:rsid w:val="43E67FBA"/>
    <w:rsid w:val="43E70341"/>
    <w:rsid w:val="43F61D1A"/>
    <w:rsid w:val="44DF1F42"/>
    <w:rsid w:val="44E54492"/>
    <w:rsid w:val="456E2D1E"/>
    <w:rsid w:val="46317218"/>
    <w:rsid w:val="467E2385"/>
    <w:rsid w:val="46A3521A"/>
    <w:rsid w:val="474D1B5A"/>
    <w:rsid w:val="479E5861"/>
    <w:rsid w:val="47D01E76"/>
    <w:rsid w:val="488D6B47"/>
    <w:rsid w:val="48A3285B"/>
    <w:rsid w:val="4AAA6B59"/>
    <w:rsid w:val="4B2E7A5F"/>
    <w:rsid w:val="4B7E15FE"/>
    <w:rsid w:val="4B882D8A"/>
    <w:rsid w:val="4B9A122F"/>
    <w:rsid w:val="4BC47239"/>
    <w:rsid w:val="4C013CF0"/>
    <w:rsid w:val="4C144149"/>
    <w:rsid w:val="4CEA236C"/>
    <w:rsid w:val="4D8A4087"/>
    <w:rsid w:val="4DA75CFD"/>
    <w:rsid w:val="4E681793"/>
    <w:rsid w:val="4EC1452A"/>
    <w:rsid w:val="4EF16780"/>
    <w:rsid w:val="4FB51C5F"/>
    <w:rsid w:val="4FE43BF6"/>
    <w:rsid w:val="50B702E3"/>
    <w:rsid w:val="50D42923"/>
    <w:rsid w:val="51C47A59"/>
    <w:rsid w:val="51FF34DC"/>
    <w:rsid w:val="524E1490"/>
    <w:rsid w:val="52E973AC"/>
    <w:rsid w:val="53AE67F9"/>
    <w:rsid w:val="53B97701"/>
    <w:rsid w:val="549F6A14"/>
    <w:rsid w:val="54BD5EA5"/>
    <w:rsid w:val="54D1361A"/>
    <w:rsid w:val="54DE78C9"/>
    <w:rsid w:val="54EB0DB7"/>
    <w:rsid w:val="5516492B"/>
    <w:rsid w:val="552F223A"/>
    <w:rsid w:val="55792E3D"/>
    <w:rsid w:val="55810562"/>
    <w:rsid w:val="558877A6"/>
    <w:rsid w:val="55933FF1"/>
    <w:rsid w:val="559724F3"/>
    <w:rsid w:val="56932510"/>
    <w:rsid w:val="56BD41AC"/>
    <w:rsid w:val="56CE2B10"/>
    <w:rsid w:val="56F26D7A"/>
    <w:rsid w:val="572F289E"/>
    <w:rsid w:val="57952044"/>
    <w:rsid w:val="58124A68"/>
    <w:rsid w:val="58580761"/>
    <w:rsid w:val="587C0230"/>
    <w:rsid w:val="592D2D9D"/>
    <w:rsid w:val="59A831DE"/>
    <w:rsid w:val="59CE6E09"/>
    <w:rsid w:val="59E70E7F"/>
    <w:rsid w:val="5A52740B"/>
    <w:rsid w:val="5AAA45A9"/>
    <w:rsid w:val="5B280CAA"/>
    <w:rsid w:val="5CA32C0E"/>
    <w:rsid w:val="5CD71C3D"/>
    <w:rsid w:val="5D7C2E55"/>
    <w:rsid w:val="5D7F2D99"/>
    <w:rsid w:val="5E237770"/>
    <w:rsid w:val="5EEE5BEF"/>
    <w:rsid w:val="5F88611C"/>
    <w:rsid w:val="60344AA5"/>
    <w:rsid w:val="60B646B4"/>
    <w:rsid w:val="60C07345"/>
    <w:rsid w:val="61221F34"/>
    <w:rsid w:val="61292137"/>
    <w:rsid w:val="62C0582F"/>
    <w:rsid w:val="62F86C77"/>
    <w:rsid w:val="631F76AB"/>
    <w:rsid w:val="63346AD5"/>
    <w:rsid w:val="633D7CF4"/>
    <w:rsid w:val="63894425"/>
    <w:rsid w:val="63A076B5"/>
    <w:rsid w:val="63AA1D98"/>
    <w:rsid w:val="645858DC"/>
    <w:rsid w:val="6485430C"/>
    <w:rsid w:val="64876406"/>
    <w:rsid w:val="64B36AE7"/>
    <w:rsid w:val="65670AA1"/>
    <w:rsid w:val="658C7682"/>
    <w:rsid w:val="65A0692F"/>
    <w:rsid w:val="678656E7"/>
    <w:rsid w:val="67C66E45"/>
    <w:rsid w:val="67CF526D"/>
    <w:rsid w:val="683740DB"/>
    <w:rsid w:val="684E3A92"/>
    <w:rsid w:val="68C822E8"/>
    <w:rsid w:val="68D10A82"/>
    <w:rsid w:val="68EA483B"/>
    <w:rsid w:val="69300ADC"/>
    <w:rsid w:val="69C533C0"/>
    <w:rsid w:val="6ABB72BD"/>
    <w:rsid w:val="6B297B01"/>
    <w:rsid w:val="6C015C52"/>
    <w:rsid w:val="6C132929"/>
    <w:rsid w:val="6C1F7259"/>
    <w:rsid w:val="6C5E0E49"/>
    <w:rsid w:val="6C5F3F7F"/>
    <w:rsid w:val="6D181417"/>
    <w:rsid w:val="6D8B63A4"/>
    <w:rsid w:val="6D967950"/>
    <w:rsid w:val="6DF20A0C"/>
    <w:rsid w:val="6EEE3F1B"/>
    <w:rsid w:val="6F140B0F"/>
    <w:rsid w:val="6FE81BA0"/>
    <w:rsid w:val="70173E49"/>
    <w:rsid w:val="70CB37A1"/>
    <w:rsid w:val="70CB60D4"/>
    <w:rsid w:val="70CC0F13"/>
    <w:rsid w:val="70ED043D"/>
    <w:rsid w:val="70F127CA"/>
    <w:rsid w:val="71136029"/>
    <w:rsid w:val="716219FD"/>
    <w:rsid w:val="71A66E6F"/>
    <w:rsid w:val="71D849D2"/>
    <w:rsid w:val="720B0A7C"/>
    <w:rsid w:val="72D00FF4"/>
    <w:rsid w:val="733A728F"/>
    <w:rsid w:val="736173B5"/>
    <w:rsid w:val="73A906BB"/>
    <w:rsid w:val="73EF74E6"/>
    <w:rsid w:val="73F4517D"/>
    <w:rsid w:val="74826361"/>
    <w:rsid w:val="74862F09"/>
    <w:rsid w:val="74D73178"/>
    <w:rsid w:val="75115858"/>
    <w:rsid w:val="76193F1D"/>
    <w:rsid w:val="761C468D"/>
    <w:rsid w:val="76B36B09"/>
    <w:rsid w:val="777E3689"/>
    <w:rsid w:val="780040E5"/>
    <w:rsid w:val="781456CA"/>
    <w:rsid w:val="796467CA"/>
    <w:rsid w:val="798C272D"/>
    <w:rsid w:val="79B32A0C"/>
    <w:rsid w:val="79ED3C95"/>
    <w:rsid w:val="79FB7746"/>
    <w:rsid w:val="7A221B50"/>
    <w:rsid w:val="7A866268"/>
    <w:rsid w:val="7B0C323B"/>
    <w:rsid w:val="7B524B5B"/>
    <w:rsid w:val="7B8D07FD"/>
    <w:rsid w:val="7BAA147A"/>
    <w:rsid w:val="7BD2591C"/>
    <w:rsid w:val="7C4E30C0"/>
    <w:rsid w:val="7C871918"/>
    <w:rsid w:val="7D0B4E5A"/>
    <w:rsid w:val="7DC4395D"/>
    <w:rsid w:val="7DE41EB1"/>
    <w:rsid w:val="7E4F7ED1"/>
    <w:rsid w:val="7F107457"/>
    <w:rsid w:val="7F5D0F37"/>
    <w:rsid w:val="7F6B151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qFormat/>
    <w:uiPriority w:val="99"/>
    <w:rPr>
      <w:b/>
      <w:bCs/>
    </w:rPr>
  </w:style>
  <w:style w:type="paragraph" w:styleId="3">
    <w:name w:val="annotation text"/>
    <w:basedOn w:val="1"/>
    <w:link w:val="13"/>
    <w:unhideWhenUsed/>
    <w:qFormat/>
    <w:uiPriority w:val="99"/>
    <w:pPr>
      <w:jc w:val="left"/>
    </w:pPr>
  </w:style>
  <w:style w:type="paragraph" w:styleId="4">
    <w:name w:val="Balloon Text"/>
    <w:basedOn w:val="1"/>
    <w:link w:val="12"/>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qFormat/>
    <w:uiPriority w:val="99"/>
    <w:rPr>
      <w:sz w:val="21"/>
      <w:szCs w:val="21"/>
    </w:rPr>
  </w:style>
  <w:style w:type="character" w:customStyle="1" w:styleId="10">
    <w:name w:val="页眉 Char"/>
    <w:basedOn w:val="7"/>
    <w:link w:val="6"/>
    <w:semiHidden/>
    <w:qFormat/>
    <w:uiPriority w:val="99"/>
    <w:rPr>
      <w:rFonts w:ascii="Times New Roman" w:hAnsi="Times New Roman" w:eastAsia="宋体" w:cs="Times New Roman"/>
      <w:sz w:val="18"/>
      <w:szCs w:val="18"/>
    </w:rPr>
  </w:style>
  <w:style w:type="character" w:customStyle="1" w:styleId="11">
    <w:name w:val="页脚 Char"/>
    <w:basedOn w:val="7"/>
    <w:link w:val="5"/>
    <w:semiHidden/>
    <w:qFormat/>
    <w:uiPriority w:val="99"/>
    <w:rPr>
      <w:rFonts w:ascii="Times New Roman" w:hAnsi="Times New Roman" w:eastAsia="宋体" w:cs="Times New Roman"/>
      <w:sz w:val="18"/>
      <w:szCs w:val="18"/>
    </w:rPr>
  </w:style>
  <w:style w:type="character" w:customStyle="1" w:styleId="12">
    <w:name w:val="批注框文本 Char"/>
    <w:basedOn w:val="7"/>
    <w:link w:val="4"/>
    <w:semiHidden/>
    <w:qFormat/>
    <w:uiPriority w:val="99"/>
    <w:rPr>
      <w:rFonts w:ascii="Times New Roman" w:hAnsi="Times New Roman" w:eastAsia="宋体" w:cs="Times New Roman"/>
      <w:kern w:val="2"/>
      <w:sz w:val="18"/>
      <w:szCs w:val="18"/>
    </w:rPr>
  </w:style>
  <w:style w:type="character" w:customStyle="1" w:styleId="13">
    <w:name w:val="批注文字 Char"/>
    <w:basedOn w:val="7"/>
    <w:link w:val="3"/>
    <w:semiHidden/>
    <w:qFormat/>
    <w:uiPriority w:val="99"/>
    <w:rPr>
      <w:rFonts w:ascii="Times New Roman" w:hAnsi="Times New Roman" w:eastAsia="宋体" w:cs="Times New Roman"/>
      <w:kern w:val="2"/>
      <w:sz w:val="21"/>
      <w:szCs w:val="24"/>
    </w:rPr>
  </w:style>
  <w:style w:type="character" w:customStyle="1" w:styleId="14">
    <w:name w:val="批注主题 Char"/>
    <w:basedOn w:val="13"/>
    <w:link w:val="2"/>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271</Words>
  <Characters>1547</Characters>
  <Lines>12</Lines>
  <Paragraphs>3</Paragraphs>
  <TotalTime>0</TotalTime>
  <ScaleCrop>false</ScaleCrop>
  <LinksUpToDate>false</LinksUpToDate>
  <CharactersWithSpaces>1815</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2016-10-25T05:27:00Z</dcterms:created>
  <dc:creator>wangchonghu</dc:creator>
  <cp:lastModifiedBy>gjy</cp:lastModifiedBy>
  <dcterms:modified xsi:type="dcterms:W3CDTF">2016-10-28T02:25:26Z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