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lang w:val="en-US"/>
        </w:rPr>
      </w:pPr>
      <w:r>
        <w:rPr>
          <w:rFonts w:hint="eastAsia" w:ascii="宋体" w:hAnsi="宋体"/>
          <w:b/>
          <w:color w:val="000000"/>
          <w:sz w:val="44"/>
          <w:szCs w:val="44"/>
        </w:rPr>
        <w:t>《金融企业国有资产评估报告指南》（</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widowControl/>
        <w:shd w:val="clear" w:color="auto" w:fill="FFFFFF"/>
        <w:jc w:val="left"/>
        <w:rPr>
          <w:rFonts w:ascii="微软雅黑" w:hAnsi="微软雅黑" w:eastAsia="微软雅黑" w:cs="宋体"/>
          <w:color w:val="000000"/>
          <w:kern w:val="0"/>
          <w:sz w:val="24"/>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eastAsia="仿宋" w:cs="Calibri"/>
          <w:color w:val="000000"/>
          <w:kern w:val="0"/>
          <w:sz w:val="32"/>
          <w:szCs w:val="32"/>
        </w:rPr>
        <w:t> </w:t>
      </w:r>
      <w:r>
        <w:rPr>
          <w:rFonts w:hint="eastAsia" w:ascii="仿宋" w:hAnsi="仿宋" w:eastAsia="仿宋" w:cs="仿宋"/>
          <w:sz w:val="32"/>
          <w:szCs w:val="32"/>
        </w:rPr>
        <w:t>（一）原第八条“注册资产评估师应当在评估报告上发表声明。声明包括注册资产评估师遵循法律法规、恪守资产评估准则、对评估结论合理性承担相应的法律责任，提醒评估报告使用者关注评估报告特别事项和使用限制等内容。注册资产评估师声明应当置于评估报告摘要之前。”修改为现第九条“评估报告声明通常包括以下内容：（一）本评估报告是依据财政部发布的资产评估基本准则和中国资产评估协会发布的资产评估执业准则和职业道德准则编制的。（二） 委托人或者本评估报告使用人应当按照法律规定和本评估报告载明的使用范围使用评估报告；委托人或者本评估报告使用人违反前述规定使用评估报告的，本资产评估机构及资产评估师不承担责任。（三）本评估报告仅供委托人、评估委托合同中约定的其他评估报告使用人和国家法律、法规规定的评估报告使用人使用；除此之外，任何机构和个人不能由于得到评估报告而成为评估报告的使用人。（四）本资产评估机构及资产评估师提示评估报告使用人应当正确理解评估结果，评估结果不等同于评估对象可实现的价格，评估结果不应当被认为是对评估对象可实现价格的保证。（五）本资产评估机构及资产评估师遵循独立、客观和公正的原则，遵守有关法律、法规和资产评估准则的规定，并对所出具的评估报告依法承担责任。（六）提醒评估报告使用人关注评估报告特别事项说明和使用限制。（七）其他需要声明的内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修改理由：根据《资产评估准则-资产评估报告》修订稿进行相应修改。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八条“评估报告应当说明所选用的评估方法，以及选择评估方法的理由。采用收益法、市场法评估的，应当对评估过程及主要参数的选取进行说明。采用成本法评估的，应当对主要资产及负债的评估方法进行说明。以持续经营为前提，采用两种以上方法进行企业价值评估的，应当分别说明各种评估方法选取的理由以及评估结论确定的方法。”修改为现第十九条“评估报告应当说明所选用的评估方法及其理由。未采用两种以上评估方法进行评估的，评估报告应当披露其他基本评估方法不适用的原因或所受的操作限制。采用收益法、市场法评估的，应当对评估过程及主要参数的选取进行说明。采用成本法评估的，应当对主要资产及负债的评估方法进行说明。采用两种以上方法进行企业价值评估的，还应当说明评估结果确定的方法。”</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修改理由：根据《资产评估准则-资产评估报告》修订稿进行相应修改。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二十六条“评估报告附件内容应当与评估目的、评估方法、评估结论相关联。评估报告附件通常包括下列文件：（一）与评估目的相对应的经济行为文件；（二）被评估单位的财务报表及审计报告；（三）委托方和被评估单位法人营业执照；（四）被评估单位金融业务许可证；（五）委托方和被评估单位产权登记证；（六）评估对象涉及的主要权属证明资料；（七）委托方和相关当事方的承诺函；（八）签字注册资产评估师的承诺函；（九）评估机构资格证书；（十）评估机构法人营业执照副本；（十一）签字注册资产评估师资格证书；（十二）重要取价依据（如合同、协议）；（十三）业务约定书；（十四）其他重要文件。”修改为现第二十七条“评估报告附件内容应当与评估目的、评估方法、评估结果相关联。评估报告附件通常包括下列文件：（一）与评估目的相对应的经济行为文件；（二）被评估单位的财务报表及审计报表；（三）委托人和被评估单位法人营业执照；（四）被评估单位金融业务许可证；（五）委托人和被评估单位产权登记证；（六）评估对象涉及的主要权属证明资料；（七）委托人和相关当事人的承诺函；（八）评估机构资格证书；（九）评估机构法人营业执照副本；（十）负责该评估业务的资产评估师资格证书；（十一）委托人和被评估单位（或者产权持有单位）编写的《企业关于进行资产评估有关事项的说明》；（十二）其他重要文件。”</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广大评估机构和评估师的建议，删除签字资产评估师的承诺函，因为评估报告已经包含评估师的承诺内容；删除业务约定书，该文件涉及评估收费等商业秘密，不宜作为评估报告附件公开披露，监管部门可以通过查阅工作底稿的方式了解相关情况；删除重要取价依据（如合同、协议），因为对重要取价依据的判断没有形成统一的、明确的标准，不具有操作性；增加委托方和被评估单位编写的《企业关于进行资产评估有关事项的说明》，该说明原来是评估说明书的组成部分，将由企业编写的材料和评估机构、资产评估师编写的材料装订成一个文件，无论是从材料的来源、性质和作用看，还是评估报告装订的便捷和效率看，都有不妥之处。该材料更适合于作为评估报告书的附件。此外，审计报告属于独立的专业意见，不宜作为评估报告附件，可以要求企业单独报送，因此本次将附件中所列被评估单位专项审计报告修改为专项审计报表。</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三十条“单项资产或者资产组合评估、采用资产基础法进行企业价值评估，应当编制评估明细表。注册资产评估师可以根据本指南对评估明细表的基本要求和企业会计核算所设置的会计科目编制评估明细表。评估明细表包括被评估资产负债会计科目的评估明细表和各级汇总表。”修改为现第三十一条“评估明细表可以根据本指南的基本要求和企业会计核算所设置的会计科目，结合评估方法特点进行编制。（一）单项资产或者资产组合评估、采用资产基础法进行企业价值评估，评估明细表包括被评估资产负债会计科目的评估明细表和各级汇总表；（二）采用收益法进行企业价值评估，可以根据收益法评估参数和盈利预测项目的构成等具体情况设计评估明细表的格式和内容；（三）采用市场法进行企业价值评估，可以根据评估说明的详略程度决定是否单独编制符合市场法特点的评估明细表。”</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修改理由：根据金融企业国有资产评估实践需要增加了收益法和市场法评估明细表相关内容。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三十一条“评估明细表格式和内容基本要求如下：（一）表头应当含有被评估资产负债类型（会计科目）名称、被评估单位、评估基准日、表号、金额单位、页码；（二）表中应当含有资产负债的名称（明细）、经营业务或者事项内容、技术参数、发生（购、建、创）日期、账面价值、评估价值、评估增减幅度及备注等基本内容；（三）</w:t>
      </w:r>
      <w:bookmarkStart w:id="0" w:name="OLE_LINK14"/>
      <w:bookmarkStart w:id="1" w:name="OLE_LINK13"/>
      <w:r>
        <w:rPr>
          <w:rFonts w:hint="eastAsia" w:ascii="仿宋" w:hAnsi="仿宋" w:eastAsia="仿宋" w:cs="仿宋"/>
          <w:sz w:val="32"/>
          <w:szCs w:val="32"/>
        </w:rPr>
        <w:t>表尾应当标明</w:t>
      </w:r>
      <w:bookmarkEnd w:id="0"/>
      <w:bookmarkEnd w:id="1"/>
      <w:r>
        <w:rPr>
          <w:rFonts w:hint="eastAsia" w:ascii="仿宋" w:hAnsi="仿宋" w:eastAsia="仿宋" w:cs="仿宋"/>
          <w:sz w:val="32"/>
          <w:szCs w:val="32"/>
        </w:rPr>
        <w:t>评估人员、被评估单位填表人员和填表日期。” 原第三十二条“评估明细表按会计明细科目、一级科目逐级汇总，并编制资产负债表的评估汇总表及以人民币万元为金额单位的评估结果汇总表。” 原第三十三条“ 会计计提的减值准备在相应会计科目合计项下列示。评估增减值应当按会计计提减值准备前后分别列示。”原第三十四条“评估结果汇总表应当按以下顺序和项目内容列示：资产、负债、净资产等类别和项目。”合并修改为现第三十二条“被评估资产负债会计科目的评估明细表格式和内容基本要求如下：（一）表头应当含有被评估资产负债类型（会计科目）名称、被评估单位、评估基准日、表号、金额单位、页码；（二）表中应当含有资产负债的名称（明细）、经营业务或者事项内容、技术参数、发生（购、建、创）日期、账面价值、评估价值、评估增减幅度及备注等基本内容。（三）评估明细表按会计明细科目、一级科目逐级汇总，并编制资产负债表的评估汇总表及以人民币万元为金额单位的评估结果汇总表。（四）会计计提的减值准备在相应会计科目合计项下列示。（五）评估结果汇总表应当按以下顺序和项目内容列示：资产、负债、净资产等类别和项目。”</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将评估明细表格式和内容基本要求的相关条款合并成一条，同时删除了表内填表人员、填表日期和评估人员等相关信息，因为委托方和被评估单位提供的资料已有单位盖章并签署了承诺函，评估报告已有评估师签名和评估机构盖章。</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增加现第三十三条“不同类型金融企业业务模式不同，适用的收益法评估明细表也有所区别。（一）采用股权自由现金流折现模型，通常编制财务报表调整表（如有）、现金流量测算表、收入预测表、支出预测表、所有者权益变动表、其他综合收益预测表、折现率测算表。（二）采用企业自由现金流折现模型，通常编制财务报表调整表（如有）、现金流量测算表、收入预测表、支出预测表、折旧摊销预测表、资本性支出预测表、净流动资金增加额预测表、折现率测算表。”增加现第三十四条“收益法评估明细表表头应当含有评估参数或预测项目名称、被评估单位（或者产权持有单位）、评估基准日、表号、金额单位等。”</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修改理由：根据金融企业国有资产评估实践需要，增加收益法和市场法评估明细表相关要求的内容。</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七）在原第三十九条“《资产评估说明》是对评估对象进行核实、评定估算过程的详细说明，应当包括以下内容：（一）评估对象与评估范围说明；（二）资产核实总体情况说明；（三）评估技术说明；（四）评估结论及分析”之后，增加现第三十九条至四十六条，具体如下：</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现第三十九条“评估对象与评估范围说明应当根据企业价值评估、单项资产或者资产组合评估的不同情况确定内容的详略程度。” 现第四十条“资产核实总体情况说明通常包括人员组织、实施时间、核实过程、影响事项及处理方法、核实结论等。”现第四十一条“评估技术说明应当考虑不同经济行为和不同评估方法的特点介绍评定估算的思路及过程。”现第四十二条“采用成本法评估单项资产或者资产组合、采用资产基础法评估企业价值，应当根据评估项目的具体情况以及资产负债类型编写评估技术说明。各项资产负债评估技术说明应当包含资产负债的内容和金额、核实方法、评估值确定的方法和结果等基本内容。”现第四十三条“采用收益法和市场法评估企业价值，评估技术说明通常包括以下内容：（一）影响企业经营的宏观、区域经济因素；（二）所在行业现状与发展前景；（三）企业的业务情况；（四）企业的资产、财务分析和调整情况；（五）评估方法的运用实施过程。”现第四十四条“采用收益法进行企业价值评估，应当根据行业特点、企业经营方式和所确定的预期收益口径以及评估的其他具体情况等编写评估技术说明。企业的资产、财务分析和调整情况以及评估方法运用实施过程说明通常包括以下内容：（一）收益法的应用前提及选择理由和依据；（二）收益预测的假设条件；（三）企业经营、资产、财务分析；（四）收益模型选择理由及基本参数说明；（五）收益期限及明确预测期的说明；（六）收益预测的说明；（七）折现率的确定说明；（八）明确预测期后价值确定说明；（九）其他资产和负债评估说明；（十）评估价值。”现第四十五条“采用市场法进行企业价值评估，应当根据行业特点、被评估企业实际情况以及上市公司比较法或者交易案例比较法的特点等编写评估技术说明。企业的资产、财务分析和调整情况以及评估方法运用实施过程说明通常包括以下内容：（一）具体方法、应用前提及选择理由；（二）企业经营、资产、财务分析；（三）分析选取确定可比企业或交易案例的说明；（四）价值比率的选择及因素修正说明；（五）评估对象价值比率的测算说明； （六）评估价值。”现第四十六条“评估结果及分析通常包括：（一）评估结果。采用两种或两种以上方法进行企业价值评估时，应当说明不同评估方法结果的差异及其原因和最终确定评估结果的理由。（二）评估价值与账面价值比较变动情况及说明。（三）折价或者溢价情况（如有）。”</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修改理由：根据《资产评估准则-企业价值》，并结合本指南修订前附件3“评估说明编写指引”的部分内容，对评估说明的内容及披露进行更加详细的规范。</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（八）删除原附件四“评估明细表样表（供参考）”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原附件四提供了供参考的评估明细表样表，考虑到该表只适用于资产基础法，不完整，并且不同行业需要的评估明细表格式可能不一样，大部分评估机构在执行评估业务时都根据被评估单位特点编制了适用于评估项目的评估明细表，所以，本次修订时删除了附件四。</w:t>
      </w:r>
    </w:p>
    <w:p>
      <w:pPr>
        <w:spacing w:line="480" w:lineRule="auto"/>
        <w:ind w:firstLine="640" w:firstLineChars="200"/>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（一）原第十二条中“评估报告正文应当介绍委托方、被评估单位及业务约定书约定的其他评估报告使用者的概况”，修改为现第十三条“评估报告正文应当介绍委托人、被评估单位</w:t>
      </w:r>
      <w:r>
        <w:rPr>
          <w:rFonts w:hint="eastAsia" w:ascii="仿宋" w:hAnsi="仿宋" w:eastAsia="仿宋" w:cs="仿宋"/>
          <w:b/>
          <w:sz w:val="32"/>
          <w:szCs w:val="32"/>
        </w:rPr>
        <w:t>(或者产权持有单位)</w:t>
      </w:r>
      <w:r>
        <w:rPr>
          <w:rFonts w:hint="eastAsia" w:ascii="仿宋" w:hAnsi="仿宋" w:eastAsia="仿宋" w:cs="仿宋"/>
          <w:sz w:val="32"/>
          <w:szCs w:val="32"/>
        </w:rPr>
        <w:t>及评估委托合同约定的其他评估报告使用人的概况。”</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修改理由：参照《企业国有资产评估报告指南》相关内容，将“被评估单位”修改为“被评估单位（或者产权持有单位）”。</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（二）原第十五条“评估报告应当明确价值类型及其定义，并说明选择价值类型的理由。”修改为现第十六条“评估报告应当明确价值类型及其定义。</w:t>
      </w:r>
      <w:r>
        <w:rPr>
          <w:rFonts w:hint="eastAsia" w:ascii="仿宋" w:hAnsi="仿宋" w:eastAsia="仿宋" w:cs="仿宋"/>
          <w:b/>
          <w:sz w:val="32"/>
          <w:szCs w:val="32"/>
        </w:rPr>
        <w:t>选择市场价值以外的价值类型，还应当</w:t>
      </w:r>
      <w:r>
        <w:rPr>
          <w:rFonts w:hint="eastAsia" w:ascii="仿宋" w:hAnsi="仿宋" w:eastAsia="仿宋" w:cs="仿宋"/>
          <w:sz w:val="32"/>
          <w:szCs w:val="32"/>
        </w:rPr>
        <w:t>说明价值类型选择理由。”</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修改理由：与《资产评估准则-资产评估报告》对价值类型的修改保持一致。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（三）原第二十条“评估报告应当说明评估结论对应的评估假设</w:t>
      </w:r>
      <w:r>
        <w:rPr>
          <w:rFonts w:hint="eastAsia" w:ascii="仿宋" w:hAnsi="仿宋" w:eastAsia="仿宋" w:cs="仿宋"/>
          <w:b/>
          <w:sz w:val="32"/>
          <w:szCs w:val="32"/>
        </w:rPr>
        <w:t>及其对评估结论的影响</w:t>
      </w:r>
      <w:r>
        <w:rPr>
          <w:rFonts w:hint="eastAsia" w:ascii="仿宋" w:hAnsi="仿宋" w:eastAsia="仿宋" w:cs="仿宋"/>
          <w:sz w:val="32"/>
          <w:szCs w:val="32"/>
        </w:rPr>
        <w:t>。”修改为现第二十一条“评估报告应当说明评估所使用的假设。”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修改理由：与《资产评估准则-资产评估报告》对评估假设的修改保持一致。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（四）原第二十一条中“（五）引用其他机构出具的报告结论的，</w:t>
      </w:r>
      <w:r>
        <w:rPr>
          <w:rFonts w:hint="eastAsia" w:ascii="仿宋" w:hAnsi="仿宋" w:eastAsia="仿宋" w:cs="仿宋"/>
          <w:b/>
          <w:sz w:val="32"/>
          <w:szCs w:val="32"/>
        </w:rPr>
        <w:t>评估报告应当披露引用原因、引用过程及所引用报告的出具方、报告文号、报告结论等事项</w:t>
      </w:r>
      <w:r>
        <w:rPr>
          <w:rFonts w:hint="eastAsia" w:ascii="仿宋" w:hAnsi="仿宋" w:eastAsia="仿宋" w:cs="仿宋"/>
          <w:sz w:val="32"/>
          <w:szCs w:val="32"/>
        </w:rPr>
        <w:t>，并说明承担引用不当的相关责任。”修改到现第二十三条“（一）引用其他机构出具的报告结果</w:t>
      </w:r>
      <w:r>
        <w:rPr>
          <w:rFonts w:hint="eastAsia" w:ascii="仿宋" w:hAnsi="仿宋" w:eastAsia="仿宋" w:cs="仿宋"/>
          <w:b/>
          <w:sz w:val="32"/>
          <w:szCs w:val="32"/>
        </w:rPr>
        <w:t>情况</w:t>
      </w:r>
      <w:r>
        <w:rPr>
          <w:rFonts w:hint="eastAsia" w:ascii="仿宋" w:hAnsi="仿宋" w:eastAsia="仿宋" w:cs="仿宋"/>
          <w:sz w:val="32"/>
          <w:szCs w:val="32"/>
        </w:rPr>
        <w:t>，并说明承担引用不当的相关责任”。</w:t>
      </w:r>
    </w:p>
    <w:p>
      <w:pPr>
        <w:spacing w:line="480" w:lineRule="auto"/>
        <w:ind w:firstLine="640" w:firstLineChars="200"/>
        <w:rPr>
          <w:rFonts w:ascii="仿宋" w:hAnsi="仿宋" w:eastAsia="仿宋" w:cs="仿宋"/>
          <w:sz w:val="32"/>
          <w:szCs w:val="32"/>
        </w:rPr>
      </w:pPr>
      <w:r>
        <w:rPr>
          <w:rFonts w:ascii="仿宋" w:hAnsi="仿宋" w:eastAsia="仿宋" w:cs="仿宋"/>
          <w:sz w:val="32"/>
          <w:szCs w:val="32"/>
        </w:rPr>
        <w:t>修改理由</w:t>
      </w:r>
      <w:r>
        <w:rPr>
          <w:rFonts w:hint="eastAsia" w:ascii="仿宋" w:hAnsi="仿宋" w:eastAsia="仿宋" w:cs="仿宋"/>
          <w:sz w:val="32"/>
          <w:szCs w:val="32"/>
        </w:rPr>
        <w:t>：根据《资产评估准则-资产评估报告》，有引用其他机构出具的报告结果情形的，应当在特别事项中说明，所以将其调整至现第二十三条，并按照利用专家工作评估准则提出规范要求。</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（五）原第二十四条“评估报告应当载明评估报告日。评估报告日通常为注册资产评估师形成</w:t>
      </w:r>
      <w:r>
        <w:rPr>
          <w:rFonts w:hint="eastAsia" w:ascii="仿宋" w:hAnsi="仿宋" w:eastAsia="仿宋" w:cs="仿宋"/>
          <w:b/>
          <w:sz w:val="32"/>
          <w:szCs w:val="32"/>
        </w:rPr>
        <w:t>最终</w:t>
      </w:r>
      <w:r>
        <w:rPr>
          <w:rFonts w:hint="eastAsia" w:ascii="仿宋" w:hAnsi="仿宋" w:eastAsia="仿宋" w:cs="仿宋"/>
          <w:sz w:val="32"/>
          <w:szCs w:val="32"/>
        </w:rPr>
        <w:t>专业意见的日期。”修改为现第二十五条“评估报告应当载明评估报告日。评估报告日通常为评估专业意见形成的日期，</w:t>
      </w:r>
      <w:r>
        <w:rPr>
          <w:rFonts w:hint="eastAsia" w:ascii="仿宋" w:hAnsi="仿宋" w:eastAsia="仿宋" w:cs="仿宋"/>
          <w:b/>
          <w:sz w:val="32"/>
          <w:szCs w:val="32"/>
        </w:rPr>
        <w:t>可以不同于评估报告的签发日</w:t>
      </w:r>
      <w:r>
        <w:rPr>
          <w:rFonts w:hint="eastAsia" w:ascii="仿宋" w:hAnsi="仿宋" w:eastAsia="仿宋" w:cs="仿宋"/>
          <w:sz w:val="32"/>
          <w:szCs w:val="32"/>
        </w:rPr>
        <w:t>。”　</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修改理由：与《资产评估准则-资产评估报告》对评估报告日的修改保持一致。</w:t>
      </w:r>
    </w:p>
    <w:p>
      <w:pPr>
        <w:spacing w:line="480" w:lineRule="auto"/>
        <w:ind w:firstLine="640" w:firstLineChars="200"/>
        <w:jc w:val="left"/>
        <w:outlineLvl w:val="0"/>
        <w:rPr>
          <w:rFonts w:ascii="仿宋" w:hAnsi="仿宋" w:eastAsia="仿宋" w:cs="仿宋"/>
          <w:sz w:val="32"/>
          <w:szCs w:val="32"/>
        </w:rPr>
      </w:pPr>
      <w:r>
        <w:rPr>
          <w:rFonts w:hint="eastAsia" w:ascii="仿宋" w:hAnsi="仿宋" w:eastAsia="仿宋" w:cs="仿宋"/>
          <w:sz w:val="32"/>
          <w:szCs w:val="32"/>
        </w:rPr>
        <w:t>（六）原附件三</w:t>
      </w:r>
      <w:bookmarkStart w:id="2" w:name="_Toc273205920"/>
      <w:bookmarkStart w:id="3" w:name="_Toc273187699"/>
      <w:bookmarkStart w:id="4" w:name="_Toc273187708"/>
      <w:bookmarkStart w:id="5" w:name="_Toc273205929"/>
      <w:r>
        <w:rPr>
          <w:rFonts w:hint="eastAsia" w:ascii="仿宋" w:hAnsi="仿宋" w:eastAsia="仿宋" w:cs="仿宋"/>
          <w:sz w:val="32"/>
          <w:szCs w:val="32"/>
        </w:rPr>
        <w:t>“评估说明”编写指引</w:t>
      </w:r>
      <w:bookmarkEnd w:id="2"/>
      <w:bookmarkEnd w:id="3"/>
      <w:r>
        <w:rPr>
          <w:rFonts w:hint="eastAsia" w:ascii="仿宋" w:hAnsi="仿宋" w:eastAsia="仿宋" w:cs="仿宋"/>
          <w:sz w:val="32"/>
          <w:szCs w:val="32"/>
        </w:rPr>
        <w:t>“五、市场法评估技术说明”</w:t>
      </w:r>
      <w:bookmarkEnd w:id="4"/>
      <w:bookmarkEnd w:id="5"/>
      <w:r>
        <w:rPr>
          <w:rFonts w:hint="eastAsia" w:ascii="仿宋" w:hAnsi="仿宋" w:eastAsia="仿宋" w:cs="仿宋"/>
          <w:sz w:val="32"/>
          <w:szCs w:val="32"/>
        </w:rPr>
        <w:t>中，“采用市场法进行企业价值评估，应当根据所采用的具体评估方法（如</w:t>
      </w:r>
      <w:r>
        <w:rPr>
          <w:rFonts w:hint="eastAsia" w:ascii="仿宋" w:hAnsi="仿宋" w:eastAsia="仿宋" w:cs="仿宋"/>
          <w:b/>
          <w:sz w:val="32"/>
          <w:szCs w:val="32"/>
        </w:rPr>
        <w:t>参考企业</w:t>
      </w:r>
      <w:r>
        <w:rPr>
          <w:rFonts w:hint="eastAsia" w:ascii="仿宋" w:hAnsi="仿宋" w:eastAsia="仿宋" w:cs="仿宋"/>
          <w:sz w:val="32"/>
          <w:szCs w:val="32"/>
        </w:rPr>
        <w:t>比较法或者</w:t>
      </w:r>
      <w:r>
        <w:rPr>
          <w:rFonts w:hint="eastAsia" w:ascii="仿宋" w:hAnsi="仿宋" w:eastAsia="仿宋" w:cs="仿宋"/>
          <w:b/>
          <w:sz w:val="32"/>
          <w:szCs w:val="32"/>
        </w:rPr>
        <w:t>并购</w:t>
      </w:r>
      <w:r>
        <w:rPr>
          <w:rFonts w:hint="eastAsia" w:ascii="仿宋" w:hAnsi="仿宋" w:eastAsia="仿宋" w:cs="仿宋"/>
          <w:sz w:val="32"/>
          <w:szCs w:val="32"/>
        </w:rPr>
        <w:t>案例比较法）确定评估技术说明的编写内容。”修改为现附件三“评估说明”编写指引 “五、市场法评估技术说明”中，“采用市场法进行企业价值评估，可以根据所采用的具体评估方法（</w:t>
      </w:r>
      <w:r>
        <w:rPr>
          <w:rFonts w:hint="eastAsia" w:ascii="仿宋" w:hAnsi="仿宋" w:eastAsia="仿宋" w:cs="仿宋"/>
          <w:b/>
          <w:sz w:val="32"/>
          <w:szCs w:val="32"/>
        </w:rPr>
        <w:t>上市公司</w:t>
      </w:r>
      <w:r>
        <w:rPr>
          <w:rFonts w:hint="eastAsia" w:ascii="仿宋" w:hAnsi="仿宋" w:eastAsia="仿宋" w:cs="仿宋"/>
          <w:sz w:val="32"/>
          <w:szCs w:val="32"/>
        </w:rPr>
        <w:t>比较法或者</w:t>
      </w:r>
      <w:r>
        <w:rPr>
          <w:rFonts w:hint="eastAsia" w:ascii="仿宋" w:hAnsi="仿宋" w:eastAsia="仿宋" w:cs="仿宋"/>
          <w:b/>
          <w:sz w:val="32"/>
          <w:szCs w:val="32"/>
        </w:rPr>
        <w:t>交易</w:t>
      </w:r>
      <w:r>
        <w:rPr>
          <w:rFonts w:hint="eastAsia" w:ascii="仿宋" w:hAnsi="仿宋" w:eastAsia="仿宋" w:cs="仿宋"/>
          <w:sz w:val="32"/>
          <w:szCs w:val="32"/>
        </w:rPr>
        <w:t>案例比较法）确定评估技术说明的编写内容。”</w:t>
      </w:r>
    </w:p>
    <w:p>
      <w:pPr>
        <w:spacing w:line="480" w:lineRule="auto"/>
        <w:ind w:firstLine="640" w:firstLineChars="200"/>
        <w:rPr>
          <w:rFonts w:ascii="仿宋" w:hAnsi="仿宋" w:eastAsia="仿宋" w:cs="仿宋"/>
          <w:sz w:val="32"/>
          <w:szCs w:val="32"/>
        </w:rPr>
      </w:pPr>
      <w:r>
        <w:rPr>
          <w:rFonts w:ascii="仿宋" w:hAnsi="仿宋" w:eastAsia="仿宋" w:cs="仿宋"/>
          <w:sz w:val="32"/>
          <w:szCs w:val="32"/>
        </w:rPr>
        <w:t>修改理由</w:t>
      </w:r>
      <w:r>
        <w:rPr>
          <w:rFonts w:hint="eastAsia" w:ascii="仿宋" w:hAnsi="仿宋" w:eastAsia="仿宋" w:cs="仿宋"/>
          <w:sz w:val="32"/>
          <w:szCs w:val="32"/>
        </w:rPr>
        <w:t>：</w:t>
      </w:r>
      <w:bookmarkStart w:id="6" w:name="_GoBack"/>
      <w:bookmarkEnd w:id="6"/>
      <w:r>
        <w:rPr>
          <w:rFonts w:hint="eastAsia" w:ascii="仿宋" w:hAnsi="仿宋" w:eastAsia="仿宋" w:cs="仿宋"/>
          <w:sz w:val="32"/>
          <w:szCs w:val="32"/>
        </w:rPr>
        <w:t>与《资产评估准则-企业价值》相关内容保持一致。</w:t>
      </w:r>
    </w:p>
    <w:p>
      <w:pPr>
        <w:spacing w:line="480" w:lineRule="auto"/>
        <w:ind w:firstLine="640" w:firstLineChars="200"/>
        <w:rPr>
          <w:rFonts w:ascii="仿宋" w:hAnsi="仿宋" w:eastAsia="仿宋" w:cs="仿宋"/>
          <w:sz w:val="32"/>
          <w:szCs w:val="32"/>
        </w:rPr>
      </w:pPr>
    </w:p>
    <w:p>
      <w:pPr>
        <w:spacing w:line="480" w:lineRule="auto"/>
        <w:ind w:firstLine="640" w:firstLineChars="200"/>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411"/>
    <w:rsid w:val="00013D71"/>
    <w:rsid w:val="00013F56"/>
    <w:rsid w:val="00053EAD"/>
    <w:rsid w:val="00060AF4"/>
    <w:rsid w:val="00083B26"/>
    <w:rsid w:val="00085078"/>
    <w:rsid w:val="00092AF6"/>
    <w:rsid w:val="000942B6"/>
    <w:rsid w:val="00097F04"/>
    <w:rsid w:val="000A42B7"/>
    <w:rsid w:val="000A7936"/>
    <w:rsid w:val="000C4A71"/>
    <w:rsid w:val="000E5117"/>
    <w:rsid w:val="00106B46"/>
    <w:rsid w:val="00132AE4"/>
    <w:rsid w:val="00165B38"/>
    <w:rsid w:val="0016623D"/>
    <w:rsid w:val="00171000"/>
    <w:rsid w:val="00173BA0"/>
    <w:rsid w:val="00191AB0"/>
    <w:rsid w:val="001954CF"/>
    <w:rsid w:val="001C44AF"/>
    <w:rsid w:val="001D268F"/>
    <w:rsid w:val="00200411"/>
    <w:rsid w:val="00216FF8"/>
    <w:rsid w:val="002235AF"/>
    <w:rsid w:val="00225C6C"/>
    <w:rsid w:val="0025134C"/>
    <w:rsid w:val="00267439"/>
    <w:rsid w:val="002803ED"/>
    <w:rsid w:val="002958BE"/>
    <w:rsid w:val="002D47E6"/>
    <w:rsid w:val="002F2A21"/>
    <w:rsid w:val="00321C57"/>
    <w:rsid w:val="00325C77"/>
    <w:rsid w:val="00344920"/>
    <w:rsid w:val="00350614"/>
    <w:rsid w:val="003558A2"/>
    <w:rsid w:val="00363434"/>
    <w:rsid w:val="00365F02"/>
    <w:rsid w:val="00371B9B"/>
    <w:rsid w:val="00373F6D"/>
    <w:rsid w:val="00376510"/>
    <w:rsid w:val="003B0DEF"/>
    <w:rsid w:val="003D322D"/>
    <w:rsid w:val="00431609"/>
    <w:rsid w:val="00437215"/>
    <w:rsid w:val="00452966"/>
    <w:rsid w:val="004553A9"/>
    <w:rsid w:val="00456869"/>
    <w:rsid w:val="004701F7"/>
    <w:rsid w:val="004A2D28"/>
    <w:rsid w:val="004B3D32"/>
    <w:rsid w:val="004B3F8A"/>
    <w:rsid w:val="004B48B2"/>
    <w:rsid w:val="004C3D69"/>
    <w:rsid w:val="004D3E26"/>
    <w:rsid w:val="004F2DDA"/>
    <w:rsid w:val="00504460"/>
    <w:rsid w:val="00512080"/>
    <w:rsid w:val="00546E41"/>
    <w:rsid w:val="00551C57"/>
    <w:rsid w:val="00552C9A"/>
    <w:rsid w:val="005638D4"/>
    <w:rsid w:val="00566590"/>
    <w:rsid w:val="00574826"/>
    <w:rsid w:val="00577AB8"/>
    <w:rsid w:val="005833E9"/>
    <w:rsid w:val="00591C89"/>
    <w:rsid w:val="005C31EA"/>
    <w:rsid w:val="005C486A"/>
    <w:rsid w:val="005E25C3"/>
    <w:rsid w:val="00604BF2"/>
    <w:rsid w:val="00605271"/>
    <w:rsid w:val="0060771B"/>
    <w:rsid w:val="00613A25"/>
    <w:rsid w:val="00625C68"/>
    <w:rsid w:val="006573D8"/>
    <w:rsid w:val="00680810"/>
    <w:rsid w:val="006A3BFC"/>
    <w:rsid w:val="007238DA"/>
    <w:rsid w:val="0073684A"/>
    <w:rsid w:val="00741F42"/>
    <w:rsid w:val="00751EB1"/>
    <w:rsid w:val="007648F5"/>
    <w:rsid w:val="007942AF"/>
    <w:rsid w:val="007B4185"/>
    <w:rsid w:val="007D4654"/>
    <w:rsid w:val="007E6EEA"/>
    <w:rsid w:val="007F72E5"/>
    <w:rsid w:val="008171B9"/>
    <w:rsid w:val="00822C2A"/>
    <w:rsid w:val="0082559C"/>
    <w:rsid w:val="00825DCD"/>
    <w:rsid w:val="0083708D"/>
    <w:rsid w:val="00840D73"/>
    <w:rsid w:val="00841056"/>
    <w:rsid w:val="008512DD"/>
    <w:rsid w:val="00853130"/>
    <w:rsid w:val="0086381B"/>
    <w:rsid w:val="00886B96"/>
    <w:rsid w:val="008877E1"/>
    <w:rsid w:val="00897341"/>
    <w:rsid w:val="00897E85"/>
    <w:rsid w:val="008B4ED4"/>
    <w:rsid w:val="008D797E"/>
    <w:rsid w:val="00905C32"/>
    <w:rsid w:val="009079B7"/>
    <w:rsid w:val="0093216B"/>
    <w:rsid w:val="00933844"/>
    <w:rsid w:val="0093562D"/>
    <w:rsid w:val="00980A66"/>
    <w:rsid w:val="009961DF"/>
    <w:rsid w:val="009C6DEA"/>
    <w:rsid w:val="009D1C3D"/>
    <w:rsid w:val="009E5FA9"/>
    <w:rsid w:val="00A84793"/>
    <w:rsid w:val="00AA318E"/>
    <w:rsid w:val="00AD1DEB"/>
    <w:rsid w:val="00AD52DF"/>
    <w:rsid w:val="00B0301A"/>
    <w:rsid w:val="00B149F8"/>
    <w:rsid w:val="00B23D8D"/>
    <w:rsid w:val="00B464C1"/>
    <w:rsid w:val="00B6321D"/>
    <w:rsid w:val="00B65756"/>
    <w:rsid w:val="00BA75AF"/>
    <w:rsid w:val="00BC3EE4"/>
    <w:rsid w:val="00BC6CD5"/>
    <w:rsid w:val="00BF5CB8"/>
    <w:rsid w:val="00C00257"/>
    <w:rsid w:val="00C03114"/>
    <w:rsid w:val="00C042F9"/>
    <w:rsid w:val="00C27EDB"/>
    <w:rsid w:val="00C36C47"/>
    <w:rsid w:val="00C53407"/>
    <w:rsid w:val="00C54618"/>
    <w:rsid w:val="00C705ED"/>
    <w:rsid w:val="00CA4565"/>
    <w:rsid w:val="00CC10DE"/>
    <w:rsid w:val="00CE0A5F"/>
    <w:rsid w:val="00CE38D6"/>
    <w:rsid w:val="00CE4FC2"/>
    <w:rsid w:val="00CE70E3"/>
    <w:rsid w:val="00D0351F"/>
    <w:rsid w:val="00D105BF"/>
    <w:rsid w:val="00D10E12"/>
    <w:rsid w:val="00D132E0"/>
    <w:rsid w:val="00D13C32"/>
    <w:rsid w:val="00D247D7"/>
    <w:rsid w:val="00D24FFC"/>
    <w:rsid w:val="00D3356F"/>
    <w:rsid w:val="00D33F71"/>
    <w:rsid w:val="00DB77BA"/>
    <w:rsid w:val="00DC1BE4"/>
    <w:rsid w:val="00DD0DC4"/>
    <w:rsid w:val="00DD1F51"/>
    <w:rsid w:val="00DF1BA9"/>
    <w:rsid w:val="00E0173D"/>
    <w:rsid w:val="00E3674F"/>
    <w:rsid w:val="00E62E60"/>
    <w:rsid w:val="00E644B5"/>
    <w:rsid w:val="00E75E29"/>
    <w:rsid w:val="00E9104B"/>
    <w:rsid w:val="00E979EC"/>
    <w:rsid w:val="00EA0561"/>
    <w:rsid w:val="00EB1428"/>
    <w:rsid w:val="00EF0C10"/>
    <w:rsid w:val="00EF52C3"/>
    <w:rsid w:val="00F35AB4"/>
    <w:rsid w:val="00F61D4D"/>
    <w:rsid w:val="00F90B9B"/>
    <w:rsid w:val="00F93B84"/>
    <w:rsid w:val="00FA54E8"/>
    <w:rsid w:val="00FB1E40"/>
    <w:rsid w:val="00FB3E36"/>
    <w:rsid w:val="00FC406F"/>
    <w:rsid w:val="00FD4323"/>
    <w:rsid w:val="00FE1F0A"/>
    <w:rsid w:val="2A9B2CF7"/>
    <w:rsid w:val="3E6A3075"/>
    <w:rsid w:val="7EA649C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rFonts w:ascii="Times New Roman" w:hAnsi="Times New Roman" w:eastAsia="宋体" w:cs="Times New Roman"/>
      <w:sz w:val="18"/>
      <w:szCs w:val="18"/>
    </w:rPr>
  </w:style>
  <w:style w:type="character" w:customStyle="1" w:styleId="7">
    <w:name w:val="页脚 Char"/>
    <w:basedOn w:val="4"/>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868</Words>
  <Characters>4953</Characters>
  <Lines>41</Lines>
  <Paragraphs>11</Paragraphs>
  <ScaleCrop>false</ScaleCrop>
  <LinksUpToDate>false</LinksUpToDate>
  <CharactersWithSpaces>5810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2015-10-26T07:53:00Z</dcterms:created>
  <dc:creator>WangChonghu</dc:creator>
  <cp:lastModifiedBy>gjy</cp:lastModifiedBy>
  <cp:lastPrinted>2016-10-25T03:16:00Z</cp:lastPrinted>
  <dcterms:modified xsi:type="dcterms:W3CDTF">2016-10-28T02:34:59Z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