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60" w:lineRule="exact"/>
        <w:jc w:val="center"/>
        <w:rPr>
          <w:rFonts w:ascii="宋体" w:hAnsi="宋体"/>
          <w:b/>
          <w:color w:val="000000"/>
          <w:sz w:val="44"/>
          <w:szCs w:val="44"/>
          <w:lang w:val="en-US"/>
        </w:rPr>
      </w:pPr>
      <w:r>
        <w:rPr>
          <w:rFonts w:hint="eastAsia" w:ascii="宋体" w:hAnsi="宋体"/>
          <w:b/>
          <w:color w:val="000000"/>
          <w:sz w:val="44"/>
          <w:szCs w:val="44"/>
        </w:rPr>
        <w:t>《知识产权资产评估指南》（</w:t>
      </w:r>
      <w:r>
        <w:rPr>
          <w:rFonts w:hint="eastAsia" w:ascii="华文中宋" w:hAnsi="华文中宋" w:eastAsia="华文中宋"/>
          <w:b/>
          <w:color w:val="000000"/>
          <w:sz w:val="44"/>
          <w:szCs w:val="44"/>
        </w:rPr>
        <w:t>修订征求意见稿</w:t>
      </w:r>
      <w:r>
        <w:rPr>
          <w:rFonts w:hint="eastAsia" w:ascii="宋体" w:hAnsi="宋体"/>
          <w:b/>
          <w:color w:val="000000"/>
          <w:sz w:val="44"/>
          <w:szCs w:val="44"/>
        </w:rPr>
        <w:t>）</w:t>
      </w:r>
      <w:r>
        <w:rPr>
          <w:rFonts w:hint="eastAsia" w:ascii="宋体" w:hAnsi="宋体"/>
          <w:b/>
          <w:color w:val="000000"/>
          <w:sz w:val="44"/>
          <w:szCs w:val="44"/>
          <w:lang w:val="en-US" w:eastAsia="zh-CN"/>
        </w:rPr>
        <w:t>主要修订内容介绍</w:t>
      </w:r>
    </w:p>
    <w:p>
      <w:pPr>
        <w:spacing w:line="480" w:lineRule="auto"/>
        <w:rPr>
          <w:rFonts w:ascii="仿宋" w:hAnsi="仿宋" w:eastAsia="仿宋" w:cs="仿宋"/>
          <w:sz w:val="32"/>
          <w:szCs w:val="32"/>
        </w:rPr>
      </w:pPr>
    </w:p>
    <w:p>
      <w:pPr>
        <w:spacing w:line="480" w:lineRule="auto"/>
        <w:ind w:firstLine="643" w:firstLineChars="200"/>
        <w:rPr>
          <w:rFonts w:hint="eastAsia" w:ascii="仿宋" w:hAnsi="仿宋" w:eastAsia="仿宋" w:cs="仿宋"/>
          <w:b/>
          <w:sz w:val="32"/>
          <w:szCs w:val="32"/>
        </w:rPr>
      </w:pPr>
      <w:r>
        <w:rPr>
          <w:rFonts w:hint="eastAsia" w:ascii="仿宋" w:hAnsi="仿宋" w:eastAsia="仿宋" w:cs="仿宋"/>
          <w:b/>
          <w:sz w:val="32"/>
          <w:szCs w:val="32"/>
        </w:rPr>
        <w:t>一、整体修改的主要条款</w:t>
      </w:r>
    </w:p>
    <w:p>
      <w:pPr>
        <w:spacing w:line="480" w:lineRule="auto"/>
        <w:ind w:firstLine="643" w:firstLineChars="200"/>
        <w:rPr>
          <w:rFonts w:ascii="仿宋" w:hAnsi="仿宋" w:eastAsia="仿宋" w:cs="仿宋"/>
          <w:sz w:val="32"/>
          <w:szCs w:val="32"/>
        </w:rPr>
      </w:pPr>
      <w:r>
        <w:rPr>
          <w:rFonts w:hint="eastAsia" w:ascii="仿宋" w:hAnsi="仿宋" w:eastAsia="仿宋" w:cs="仿宋"/>
          <w:sz w:val="32"/>
          <w:szCs w:val="32"/>
        </w:rPr>
        <w:t>（一）删除原第五、第六条、第十五条</w:t>
      </w:r>
      <w:r>
        <w:rPr>
          <w:rFonts w:hint="eastAsia" w:ascii="仿宋" w:hAnsi="仿宋" w:eastAsia="仿宋" w:cs="仿宋"/>
          <w:sz w:val="32"/>
          <w:szCs w:val="32"/>
          <w:lang w:eastAsia="zh-CN"/>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修改理由：根据资产评估法修改</w:t>
      </w:r>
      <w:r>
        <w:rPr>
          <w:rFonts w:hint="eastAsia" w:ascii="仿宋" w:hAnsi="仿宋" w:eastAsia="仿宋" w:cs="仿宋"/>
          <w:sz w:val="32"/>
          <w:szCs w:val="32"/>
          <w:lang w:eastAsia="zh-CN"/>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二）原第七条“资产评估师执行知识产权资产评估业务，应当具备知识产权资产评估的相关专业知识和经验，具有从事知识产权资产评估的专业胜任能力。”修改为现第五条“执行知识产权资产评估业务，应当具备知识产权资产评估的相关专业知识及评估经验，具有从事知识产权资产评估的专业胜任能力。</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当执行某项特定业务缺乏相应的专业知识和经验时，应当采取恰当的弥补措施，包括聘请专家协助工作。聘请相关专家协助工作以及引用专业报告，应当遵守《资产评估准则-利用专家工作》的相关规定。”</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修改理由：根据《资产评估准则--利用专家工作》相应修改</w:t>
      </w:r>
      <w:r>
        <w:rPr>
          <w:rFonts w:hint="eastAsia" w:ascii="仿宋" w:hAnsi="仿宋" w:eastAsia="仿宋" w:cs="仿宋"/>
          <w:sz w:val="32"/>
          <w:szCs w:val="32"/>
          <w:lang w:eastAsia="zh-CN"/>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三）原第九条“资产评估师执行知识产权资产评估业务，应当恪守独立、客观、公正的原则，勤勉尽责，保持应有的职业谨慎，避免出现对评估结论具有重大影响的疏漏。”修改为现第七条“执行知识产权资产评估业务，应当恪守独立、客观、公正的原则，勤勉尽责，保持应有的职业谨慎，不受委托人或相关当事人的非法干预，独立进行分析、估算并形成专业意见，不得出现对评估结果具有重大影响的实质性疏漏或重大错误。”</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修改理由：根据其他准则相应修改</w:t>
      </w:r>
      <w:r>
        <w:rPr>
          <w:rFonts w:hint="eastAsia" w:ascii="仿宋" w:hAnsi="仿宋" w:eastAsia="仿宋" w:cs="仿宋"/>
          <w:sz w:val="32"/>
          <w:szCs w:val="32"/>
          <w:lang w:eastAsia="zh-CN"/>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四）原第十三条“资产评估师执行知识产权资产评估业务，在充分获取相关信息的同时，应当对信息来源的可靠性进行甄别和分析，对不同渠道获得的信息进行对比和查验，以判断信息的合理性。”修改为现第十一条“执行知识产权资产评估业务，应当对评估活动中使用的有关文件、证明和资料的真实性、准确性、完整性进行核查和验证。”</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修改理由：根据《资产评估准则——无形资产》相应修改</w:t>
      </w:r>
      <w:r>
        <w:rPr>
          <w:rFonts w:hint="eastAsia" w:ascii="仿宋" w:hAnsi="仿宋" w:eastAsia="仿宋" w:cs="仿宋"/>
          <w:sz w:val="32"/>
          <w:szCs w:val="32"/>
          <w:lang w:eastAsia="zh-CN"/>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五）原第二十五条“资产评估师执行知识产权资产评估业务，应当根据评估目的、评估对象、价值类型、资料收集情况等相关条件，分析收益法、市场法和成本法三种资产评估基本方法的适用性，恰当选择一种或者多种资产评估方法。”修改为现第二十二条“执行知识产权资产评估业务，应当根据评估目的、评估对象、价值类型、资料收集情况等相关条件，分析三种资产评估基本方法的适用性，恰当选择评估方法，合理形成评估结果。因方法的适用性或操作限制导致无法采用两种以上评估方法进行评估的，可以采用一种方法进行评估。因适用性受限的应在报告中披露其他基本评估方法不适用的原因；因操作受限的应对所受的操作限制进行分析、说明，该限制应当是资产评估行业通常的执业方式普遍无法排除的，而不应以个别资产评估机构或个别资产评估师和其他资产评估专业人员的操作能力及条件作为判断标准。”</w:t>
      </w:r>
    </w:p>
    <w:p>
      <w:pPr>
        <w:spacing w:line="48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修改理由：根据《资产评估准则——无形资产》相应修改</w:t>
      </w:r>
      <w:r>
        <w:rPr>
          <w:rFonts w:hint="eastAsia" w:ascii="仿宋" w:hAnsi="仿宋" w:eastAsia="仿宋" w:cs="仿宋"/>
          <w:sz w:val="32"/>
          <w:szCs w:val="32"/>
          <w:lang w:eastAsia="zh-CN"/>
        </w:rPr>
        <w:t>。</w:t>
      </w:r>
    </w:p>
    <w:p>
      <w:pPr>
        <w:spacing w:line="480" w:lineRule="auto"/>
        <w:ind w:firstLine="640" w:firstLineChars="200"/>
        <w:rPr>
          <w:rFonts w:hint="eastAsia" w:ascii="仿宋" w:hAnsi="仿宋" w:eastAsia="仿宋" w:cs="仿宋"/>
          <w:sz w:val="32"/>
          <w:szCs w:val="32"/>
        </w:rPr>
      </w:pPr>
    </w:p>
    <w:p>
      <w:pPr>
        <w:spacing w:line="480" w:lineRule="auto"/>
        <w:ind w:firstLine="643" w:firstLineChars="200"/>
        <w:rPr>
          <w:rFonts w:ascii="仿宋" w:hAnsi="仿宋" w:eastAsia="仿宋" w:cs="仿宋"/>
          <w:b/>
          <w:sz w:val="32"/>
          <w:szCs w:val="32"/>
        </w:rPr>
      </w:pPr>
      <w:r>
        <w:rPr>
          <w:rFonts w:hint="eastAsia" w:ascii="仿宋" w:hAnsi="仿宋" w:eastAsia="仿宋" w:cs="仿宋"/>
          <w:b/>
          <w:sz w:val="32"/>
          <w:szCs w:val="32"/>
        </w:rPr>
        <w:t>二、部分修改的主要条款</w:t>
      </w:r>
      <w:bookmarkStart w:id="0" w:name="_GoBack"/>
      <w:bookmarkEnd w:id="0"/>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 xml:space="preserve"> （一）原第八条修改为现第六条</w:t>
      </w:r>
      <w:r>
        <w:rPr>
          <w:rFonts w:hint="eastAsia" w:ascii="仿宋" w:hAnsi="仿宋" w:eastAsia="仿宋" w:cs="仿宋"/>
          <w:sz w:val="32"/>
          <w:szCs w:val="32"/>
          <w:lang w:eastAsia="zh-CN"/>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修改理由：承接业务更多的应该是对机构的要求，增加“</w:t>
      </w:r>
      <w:r>
        <w:rPr>
          <w:rFonts w:hint="eastAsia" w:ascii="仿宋" w:hAnsi="仿宋" w:eastAsia="仿宋" w:cs="仿宋"/>
          <w:b/>
          <w:bCs/>
          <w:sz w:val="32"/>
          <w:szCs w:val="32"/>
        </w:rPr>
        <w:t>人员配备</w:t>
      </w:r>
      <w:r>
        <w:rPr>
          <w:rFonts w:hint="eastAsia"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（二）原第十四条修改为现第十二条，删除“</w:t>
      </w:r>
      <w:r>
        <w:rPr>
          <w:rFonts w:hint="eastAsia" w:ascii="仿宋" w:hAnsi="仿宋" w:eastAsia="仿宋" w:cs="仿宋"/>
          <w:b/>
          <w:bCs/>
          <w:sz w:val="32"/>
          <w:szCs w:val="32"/>
        </w:rPr>
        <w:t>和限定条件，并考虑其与评估对象、评估目的和价值类型的相关性</w:t>
      </w:r>
      <w:r>
        <w:rPr>
          <w:rFonts w:hint="eastAsia"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修改理由：根据《资产评估准则——无形资产》相应修改</w:t>
      </w:r>
      <w:r>
        <w:rPr>
          <w:rFonts w:hint="eastAsia" w:ascii="仿宋" w:hAnsi="仿宋" w:eastAsia="仿宋" w:cs="仿宋"/>
          <w:sz w:val="32"/>
          <w:szCs w:val="32"/>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DA9"/>
    <w:rsid w:val="000C6977"/>
    <w:rsid w:val="00145136"/>
    <w:rsid w:val="00197DA9"/>
    <w:rsid w:val="001B50D4"/>
    <w:rsid w:val="001C577D"/>
    <w:rsid w:val="001F4E76"/>
    <w:rsid w:val="002366B7"/>
    <w:rsid w:val="002425A8"/>
    <w:rsid w:val="00245AB1"/>
    <w:rsid w:val="0027234C"/>
    <w:rsid w:val="002953DC"/>
    <w:rsid w:val="002E1DA0"/>
    <w:rsid w:val="00341625"/>
    <w:rsid w:val="00345E2F"/>
    <w:rsid w:val="003A7012"/>
    <w:rsid w:val="003B18D1"/>
    <w:rsid w:val="003B1A0D"/>
    <w:rsid w:val="003E31CF"/>
    <w:rsid w:val="003E37EB"/>
    <w:rsid w:val="0040492C"/>
    <w:rsid w:val="004B2539"/>
    <w:rsid w:val="004D610E"/>
    <w:rsid w:val="005544DC"/>
    <w:rsid w:val="00586FE4"/>
    <w:rsid w:val="00592475"/>
    <w:rsid w:val="005A4CC2"/>
    <w:rsid w:val="005D5034"/>
    <w:rsid w:val="005E7C13"/>
    <w:rsid w:val="006056AF"/>
    <w:rsid w:val="006941BF"/>
    <w:rsid w:val="006A003F"/>
    <w:rsid w:val="006E048B"/>
    <w:rsid w:val="0075344B"/>
    <w:rsid w:val="007B11A7"/>
    <w:rsid w:val="007C5E0E"/>
    <w:rsid w:val="007E4B20"/>
    <w:rsid w:val="00804A31"/>
    <w:rsid w:val="008179B9"/>
    <w:rsid w:val="00832E8A"/>
    <w:rsid w:val="008B35CF"/>
    <w:rsid w:val="008D747A"/>
    <w:rsid w:val="0094567E"/>
    <w:rsid w:val="00995BF7"/>
    <w:rsid w:val="009A0B64"/>
    <w:rsid w:val="009C7EBD"/>
    <w:rsid w:val="009D4683"/>
    <w:rsid w:val="009E1084"/>
    <w:rsid w:val="009F6F41"/>
    <w:rsid w:val="00A13224"/>
    <w:rsid w:val="00A20AC2"/>
    <w:rsid w:val="00A2693F"/>
    <w:rsid w:val="00A45623"/>
    <w:rsid w:val="00A766D1"/>
    <w:rsid w:val="00A8224F"/>
    <w:rsid w:val="00AC78C8"/>
    <w:rsid w:val="00AD2FC0"/>
    <w:rsid w:val="00AD63C4"/>
    <w:rsid w:val="00AE5B6D"/>
    <w:rsid w:val="00AE7C29"/>
    <w:rsid w:val="00B2631A"/>
    <w:rsid w:val="00B41D41"/>
    <w:rsid w:val="00B45378"/>
    <w:rsid w:val="00B72F48"/>
    <w:rsid w:val="00B95C1F"/>
    <w:rsid w:val="00BD4CEE"/>
    <w:rsid w:val="00C43641"/>
    <w:rsid w:val="00C962D6"/>
    <w:rsid w:val="00CC0C5E"/>
    <w:rsid w:val="00D10D98"/>
    <w:rsid w:val="00D1124E"/>
    <w:rsid w:val="00DC2FCA"/>
    <w:rsid w:val="00DE265D"/>
    <w:rsid w:val="00E32B40"/>
    <w:rsid w:val="00E41A18"/>
    <w:rsid w:val="00E866B7"/>
    <w:rsid w:val="00EC1008"/>
    <w:rsid w:val="00F94864"/>
    <w:rsid w:val="00FE135E"/>
    <w:rsid w:val="00FF287D"/>
    <w:rsid w:val="014D1B1B"/>
    <w:rsid w:val="01587605"/>
    <w:rsid w:val="01724BC9"/>
    <w:rsid w:val="02106B61"/>
    <w:rsid w:val="02A7342D"/>
    <w:rsid w:val="02D31E68"/>
    <w:rsid w:val="03590D98"/>
    <w:rsid w:val="03F4046E"/>
    <w:rsid w:val="04A502BF"/>
    <w:rsid w:val="053F2ADE"/>
    <w:rsid w:val="054A590E"/>
    <w:rsid w:val="05541FD6"/>
    <w:rsid w:val="05A00170"/>
    <w:rsid w:val="069B6982"/>
    <w:rsid w:val="07DE5587"/>
    <w:rsid w:val="07E13A8D"/>
    <w:rsid w:val="08875AA8"/>
    <w:rsid w:val="08CC545E"/>
    <w:rsid w:val="09090BAC"/>
    <w:rsid w:val="09B51A32"/>
    <w:rsid w:val="0A387D89"/>
    <w:rsid w:val="0B716E6D"/>
    <w:rsid w:val="0C0A629C"/>
    <w:rsid w:val="0C2C6E59"/>
    <w:rsid w:val="0C491FBE"/>
    <w:rsid w:val="0C783895"/>
    <w:rsid w:val="0CC62F81"/>
    <w:rsid w:val="0D0641C8"/>
    <w:rsid w:val="0D941348"/>
    <w:rsid w:val="0DEE7FE3"/>
    <w:rsid w:val="0EF2207A"/>
    <w:rsid w:val="100C7D85"/>
    <w:rsid w:val="10551ABD"/>
    <w:rsid w:val="10607D70"/>
    <w:rsid w:val="11696D46"/>
    <w:rsid w:val="1208149D"/>
    <w:rsid w:val="121764BB"/>
    <w:rsid w:val="1256512D"/>
    <w:rsid w:val="132B3F51"/>
    <w:rsid w:val="13337B33"/>
    <w:rsid w:val="1356688C"/>
    <w:rsid w:val="13844489"/>
    <w:rsid w:val="1448146E"/>
    <w:rsid w:val="15703732"/>
    <w:rsid w:val="15907D44"/>
    <w:rsid w:val="160D4DFE"/>
    <w:rsid w:val="161F4B27"/>
    <w:rsid w:val="16377F07"/>
    <w:rsid w:val="163F3253"/>
    <w:rsid w:val="165755EA"/>
    <w:rsid w:val="16E7609B"/>
    <w:rsid w:val="176F2E91"/>
    <w:rsid w:val="178F6EE1"/>
    <w:rsid w:val="17EA68B1"/>
    <w:rsid w:val="18ED5369"/>
    <w:rsid w:val="196A0DB4"/>
    <w:rsid w:val="19BC78A5"/>
    <w:rsid w:val="19C91EFD"/>
    <w:rsid w:val="1A771A1B"/>
    <w:rsid w:val="1AAE0B28"/>
    <w:rsid w:val="1AFB32CF"/>
    <w:rsid w:val="1B355B0B"/>
    <w:rsid w:val="1CB95B4E"/>
    <w:rsid w:val="1D0F0FA6"/>
    <w:rsid w:val="1D427CE7"/>
    <w:rsid w:val="1D6818EA"/>
    <w:rsid w:val="1DD37DB6"/>
    <w:rsid w:val="1DEC4830"/>
    <w:rsid w:val="1E665DD1"/>
    <w:rsid w:val="1ECB57F3"/>
    <w:rsid w:val="1ED90E64"/>
    <w:rsid w:val="1EFF6F78"/>
    <w:rsid w:val="1FCF4EDC"/>
    <w:rsid w:val="20434136"/>
    <w:rsid w:val="204B598E"/>
    <w:rsid w:val="2121304C"/>
    <w:rsid w:val="21DC0226"/>
    <w:rsid w:val="22241D27"/>
    <w:rsid w:val="23323679"/>
    <w:rsid w:val="239671E5"/>
    <w:rsid w:val="23A50A14"/>
    <w:rsid w:val="23DA04A9"/>
    <w:rsid w:val="241D61D7"/>
    <w:rsid w:val="24420AF6"/>
    <w:rsid w:val="244D185F"/>
    <w:rsid w:val="24AD42A0"/>
    <w:rsid w:val="262428FB"/>
    <w:rsid w:val="268D2C87"/>
    <w:rsid w:val="282F25B9"/>
    <w:rsid w:val="284112CE"/>
    <w:rsid w:val="286E1F48"/>
    <w:rsid w:val="288D5ED3"/>
    <w:rsid w:val="28FB56BA"/>
    <w:rsid w:val="2A041B1B"/>
    <w:rsid w:val="2A302EAE"/>
    <w:rsid w:val="2AA62BFB"/>
    <w:rsid w:val="2C117D94"/>
    <w:rsid w:val="2C515116"/>
    <w:rsid w:val="2D51633C"/>
    <w:rsid w:val="2D5C6F18"/>
    <w:rsid w:val="2D951CD7"/>
    <w:rsid w:val="2D9E06D1"/>
    <w:rsid w:val="2E1B40DA"/>
    <w:rsid w:val="2E841961"/>
    <w:rsid w:val="2F961B26"/>
    <w:rsid w:val="2FAC1D66"/>
    <w:rsid w:val="2FBF4B31"/>
    <w:rsid w:val="2FF0628E"/>
    <w:rsid w:val="30556A14"/>
    <w:rsid w:val="305B054C"/>
    <w:rsid w:val="305B0B19"/>
    <w:rsid w:val="30874FE6"/>
    <w:rsid w:val="30F35871"/>
    <w:rsid w:val="317B77AD"/>
    <w:rsid w:val="31E50C1D"/>
    <w:rsid w:val="331C0296"/>
    <w:rsid w:val="332630ED"/>
    <w:rsid w:val="336B13DE"/>
    <w:rsid w:val="33837B6A"/>
    <w:rsid w:val="33B56607"/>
    <w:rsid w:val="33C24A0F"/>
    <w:rsid w:val="34154E02"/>
    <w:rsid w:val="343765CD"/>
    <w:rsid w:val="349C1372"/>
    <w:rsid w:val="353458CC"/>
    <w:rsid w:val="357A5328"/>
    <w:rsid w:val="358912FE"/>
    <w:rsid w:val="370825DA"/>
    <w:rsid w:val="38863F74"/>
    <w:rsid w:val="39DC65C0"/>
    <w:rsid w:val="3A3D502F"/>
    <w:rsid w:val="3A465815"/>
    <w:rsid w:val="3AA83EF3"/>
    <w:rsid w:val="3B4C36F6"/>
    <w:rsid w:val="3B5962B6"/>
    <w:rsid w:val="3D1E6312"/>
    <w:rsid w:val="3D7D41C2"/>
    <w:rsid w:val="3DCC23E1"/>
    <w:rsid w:val="3E81033E"/>
    <w:rsid w:val="3EFB0B05"/>
    <w:rsid w:val="3F6619DF"/>
    <w:rsid w:val="404F27B0"/>
    <w:rsid w:val="40637080"/>
    <w:rsid w:val="406F5F34"/>
    <w:rsid w:val="40761CFB"/>
    <w:rsid w:val="40A0433B"/>
    <w:rsid w:val="41470E54"/>
    <w:rsid w:val="41E95A89"/>
    <w:rsid w:val="421F3C62"/>
    <w:rsid w:val="42765D39"/>
    <w:rsid w:val="42D17B63"/>
    <w:rsid w:val="43067F2D"/>
    <w:rsid w:val="43480F1A"/>
    <w:rsid w:val="438E1E8C"/>
    <w:rsid w:val="43E67FBA"/>
    <w:rsid w:val="43E70341"/>
    <w:rsid w:val="43F61D1A"/>
    <w:rsid w:val="44DF1F42"/>
    <w:rsid w:val="44E54492"/>
    <w:rsid w:val="454A3232"/>
    <w:rsid w:val="456E2D1E"/>
    <w:rsid w:val="46317218"/>
    <w:rsid w:val="467E2385"/>
    <w:rsid w:val="46A3521A"/>
    <w:rsid w:val="474D1B5A"/>
    <w:rsid w:val="479E5861"/>
    <w:rsid w:val="47D01E76"/>
    <w:rsid w:val="488D6B47"/>
    <w:rsid w:val="48A3285B"/>
    <w:rsid w:val="4AAA6B59"/>
    <w:rsid w:val="4B2E7A5F"/>
    <w:rsid w:val="4B7E15FE"/>
    <w:rsid w:val="4B882D8A"/>
    <w:rsid w:val="4B9A122F"/>
    <w:rsid w:val="4BC47239"/>
    <w:rsid w:val="4C013CF0"/>
    <w:rsid w:val="4C144149"/>
    <w:rsid w:val="4CEA236C"/>
    <w:rsid w:val="4D8A4087"/>
    <w:rsid w:val="4DA75CFD"/>
    <w:rsid w:val="4E681793"/>
    <w:rsid w:val="4EC1452A"/>
    <w:rsid w:val="4EF16780"/>
    <w:rsid w:val="4FB51C5F"/>
    <w:rsid w:val="4FE43BF6"/>
    <w:rsid w:val="50B702E3"/>
    <w:rsid w:val="50D42923"/>
    <w:rsid w:val="51C47A59"/>
    <w:rsid w:val="51FF34DC"/>
    <w:rsid w:val="52170B3A"/>
    <w:rsid w:val="524E1490"/>
    <w:rsid w:val="52E973AC"/>
    <w:rsid w:val="53AE67F9"/>
    <w:rsid w:val="53B97701"/>
    <w:rsid w:val="549F6A14"/>
    <w:rsid w:val="54BD5EA5"/>
    <w:rsid w:val="54D1361A"/>
    <w:rsid w:val="54DE78C9"/>
    <w:rsid w:val="54EB0DB7"/>
    <w:rsid w:val="5516492B"/>
    <w:rsid w:val="552F223A"/>
    <w:rsid w:val="55792E3D"/>
    <w:rsid w:val="55810562"/>
    <w:rsid w:val="558877A6"/>
    <w:rsid w:val="55933FF1"/>
    <w:rsid w:val="559724F3"/>
    <w:rsid w:val="56932510"/>
    <w:rsid w:val="56BD41AC"/>
    <w:rsid w:val="56CE2B10"/>
    <w:rsid w:val="56F26D7A"/>
    <w:rsid w:val="572F289E"/>
    <w:rsid w:val="57952044"/>
    <w:rsid w:val="58124A68"/>
    <w:rsid w:val="58580761"/>
    <w:rsid w:val="587C0230"/>
    <w:rsid w:val="592D2D9D"/>
    <w:rsid w:val="59A831DE"/>
    <w:rsid w:val="59CE6E09"/>
    <w:rsid w:val="59E70E7F"/>
    <w:rsid w:val="5A52740B"/>
    <w:rsid w:val="5AAA45A9"/>
    <w:rsid w:val="5B280CAA"/>
    <w:rsid w:val="5CA32C0E"/>
    <w:rsid w:val="5CD71C3D"/>
    <w:rsid w:val="5D7C2E55"/>
    <w:rsid w:val="5D7F2D99"/>
    <w:rsid w:val="5E237770"/>
    <w:rsid w:val="5EEE5BEF"/>
    <w:rsid w:val="5F88611C"/>
    <w:rsid w:val="60344AA5"/>
    <w:rsid w:val="60B646B4"/>
    <w:rsid w:val="60C07345"/>
    <w:rsid w:val="61221F34"/>
    <w:rsid w:val="61292137"/>
    <w:rsid w:val="62C0582F"/>
    <w:rsid w:val="62F86C77"/>
    <w:rsid w:val="631F76AB"/>
    <w:rsid w:val="63346AD5"/>
    <w:rsid w:val="633D7CF4"/>
    <w:rsid w:val="63894425"/>
    <w:rsid w:val="63A076B5"/>
    <w:rsid w:val="63AA1D98"/>
    <w:rsid w:val="645858DC"/>
    <w:rsid w:val="6485430C"/>
    <w:rsid w:val="64876406"/>
    <w:rsid w:val="64B36AE7"/>
    <w:rsid w:val="65670AA1"/>
    <w:rsid w:val="658C7682"/>
    <w:rsid w:val="65A0692F"/>
    <w:rsid w:val="678656E7"/>
    <w:rsid w:val="67CF526D"/>
    <w:rsid w:val="683740DB"/>
    <w:rsid w:val="684E3A92"/>
    <w:rsid w:val="68C822E8"/>
    <w:rsid w:val="68D10A82"/>
    <w:rsid w:val="68EA483B"/>
    <w:rsid w:val="69300ADC"/>
    <w:rsid w:val="69C533C0"/>
    <w:rsid w:val="6ABB72BD"/>
    <w:rsid w:val="6B297B01"/>
    <w:rsid w:val="6C015C52"/>
    <w:rsid w:val="6C132929"/>
    <w:rsid w:val="6C1F7259"/>
    <w:rsid w:val="6C5E0E49"/>
    <w:rsid w:val="6C5F3F7F"/>
    <w:rsid w:val="6D181417"/>
    <w:rsid w:val="6D8B63A4"/>
    <w:rsid w:val="6D967950"/>
    <w:rsid w:val="6DF20A0C"/>
    <w:rsid w:val="6EEE3F1B"/>
    <w:rsid w:val="6F140B0F"/>
    <w:rsid w:val="6FE81BA0"/>
    <w:rsid w:val="70173E49"/>
    <w:rsid w:val="70CB37A1"/>
    <w:rsid w:val="70CB60D4"/>
    <w:rsid w:val="70CC0F13"/>
    <w:rsid w:val="70ED043D"/>
    <w:rsid w:val="70F127CA"/>
    <w:rsid w:val="71136029"/>
    <w:rsid w:val="716219FD"/>
    <w:rsid w:val="71A66E6F"/>
    <w:rsid w:val="71D849D2"/>
    <w:rsid w:val="720B0A7C"/>
    <w:rsid w:val="72D00FF4"/>
    <w:rsid w:val="733A728F"/>
    <w:rsid w:val="736173B5"/>
    <w:rsid w:val="73A906BB"/>
    <w:rsid w:val="73EF74E6"/>
    <w:rsid w:val="74826361"/>
    <w:rsid w:val="74862F09"/>
    <w:rsid w:val="74D73178"/>
    <w:rsid w:val="75115858"/>
    <w:rsid w:val="76193F1D"/>
    <w:rsid w:val="761C468D"/>
    <w:rsid w:val="76B36B09"/>
    <w:rsid w:val="777E3689"/>
    <w:rsid w:val="780040E5"/>
    <w:rsid w:val="781456CA"/>
    <w:rsid w:val="796467CA"/>
    <w:rsid w:val="798C272D"/>
    <w:rsid w:val="79975722"/>
    <w:rsid w:val="79B32A0C"/>
    <w:rsid w:val="79ED3C95"/>
    <w:rsid w:val="79FB7746"/>
    <w:rsid w:val="7A221B50"/>
    <w:rsid w:val="7A866268"/>
    <w:rsid w:val="7B0C323B"/>
    <w:rsid w:val="7B524B5B"/>
    <w:rsid w:val="7B8D07FD"/>
    <w:rsid w:val="7BAA147A"/>
    <w:rsid w:val="7BD2591C"/>
    <w:rsid w:val="7C4E30C0"/>
    <w:rsid w:val="7C871918"/>
    <w:rsid w:val="7D0B4E5A"/>
    <w:rsid w:val="7DC4395D"/>
    <w:rsid w:val="7DE41EB1"/>
    <w:rsid w:val="7E4F7ED1"/>
    <w:rsid w:val="7F107457"/>
    <w:rsid w:val="7F5D0F37"/>
    <w:rsid w:val="7F6B151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9">
    <w:name w:val="Normal Table"/>
    <w:unhideWhenUsed/>
    <w:uiPriority w:val="99"/>
    <w:tblPr>
      <w:tblLayout w:type="fixed"/>
      <w:tblCellMar>
        <w:top w:w="0" w:type="dxa"/>
        <w:left w:w="108" w:type="dxa"/>
        <w:bottom w:w="0" w:type="dxa"/>
        <w:right w:w="108" w:type="dxa"/>
      </w:tblCellMar>
    </w:tblPr>
  </w:style>
  <w:style w:type="paragraph" w:styleId="2">
    <w:name w:val="annotation subject"/>
    <w:basedOn w:val="3"/>
    <w:next w:val="3"/>
    <w:link w:val="14"/>
    <w:unhideWhenUsed/>
    <w:qFormat/>
    <w:uiPriority w:val="99"/>
    <w:rPr>
      <w:b/>
      <w:bCs/>
    </w:rPr>
  </w:style>
  <w:style w:type="paragraph" w:styleId="3">
    <w:name w:val="annotation text"/>
    <w:basedOn w:val="1"/>
    <w:link w:val="13"/>
    <w:unhideWhenUsed/>
    <w:qFormat/>
    <w:uiPriority w:val="99"/>
    <w:pPr>
      <w:jc w:val="left"/>
    </w:pPr>
  </w:style>
  <w:style w:type="paragraph" w:styleId="4">
    <w:name w:val="Balloon Text"/>
    <w:basedOn w:val="1"/>
    <w:link w:val="12"/>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unhideWhenUsed/>
    <w:qFormat/>
    <w:uiPriority w:val="99"/>
    <w:rPr>
      <w:sz w:val="21"/>
      <w:szCs w:val="21"/>
    </w:rPr>
  </w:style>
  <w:style w:type="character" w:customStyle="1" w:styleId="10">
    <w:name w:val="页眉 Char"/>
    <w:basedOn w:val="7"/>
    <w:link w:val="6"/>
    <w:semiHidden/>
    <w:qFormat/>
    <w:uiPriority w:val="99"/>
    <w:rPr>
      <w:rFonts w:ascii="Times New Roman" w:hAnsi="Times New Roman" w:eastAsia="宋体" w:cs="Times New Roman"/>
      <w:sz w:val="18"/>
      <w:szCs w:val="18"/>
    </w:rPr>
  </w:style>
  <w:style w:type="character" w:customStyle="1" w:styleId="11">
    <w:name w:val="页脚 Char"/>
    <w:basedOn w:val="7"/>
    <w:link w:val="5"/>
    <w:semiHidden/>
    <w:qFormat/>
    <w:uiPriority w:val="99"/>
    <w:rPr>
      <w:rFonts w:ascii="Times New Roman" w:hAnsi="Times New Roman" w:eastAsia="宋体" w:cs="Times New Roman"/>
      <w:sz w:val="18"/>
      <w:szCs w:val="18"/>
    </w:rPr>
  </w:style>
  <w:style w:type="character" w:customStyle="1" w:styleId="12">
    <w:name w:val="批注框文本 Char"/>
    <w:basedOn w:val="7"/>
    <w:link w:val="4"/>
    <w:semiHidden/>
    <w:qFormat/>
    <w:uiPriority w:val="99"/>
    <w:rPr>
      <w:rFonts w:ascii="Times New Roman" w:hAnsi="Times New Roman" w:eastAsia="宋体" w:cs="Times New Roman"/>
      <w:kern w:val="2"/>
      <w:sz w:val="18"/>
      <w:szCs w:val="18"/>
    </w:rPr>
  </w:style>
  <w:style w:type="character" w:customStyle="1" w:styleId="13">
    <w:name w:val="批注文字 Char"/>
    <w:basedOn w:val="7"/>
    <w:link w:val="3"/>
    <w:semiHidden/>
    <w:qFormat/>
    <w:uiPriority w:val="99"/>
    <w:rPr>
      <w:rFonts w:ascii="Times New Roman" w:hAnsi="Times New Roman" w:eastAsia="宋体" w:cs="Times New Roman"/>
      <w:kern w:val="2"/>
      <w:sz w:val="21"/>
      <w:szCs w:val="24"/>
    </w:rPr>
  </w:style>
  <w:style w:type="character" w:customStyle="1" w:styleId="14">
    <w:name w:val="批注主题 Char"/>
    <w:basedOn w:val="13"/>
    <w:link w:val="2"/>
    <w:semiHidden/>
    <w:qFormat/>
    <w:uiPriority w:val="99"/>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3</Pages>
  <Words>190</Words>
  <Characters>1085</Characters>
  <Lines>9</Lines>
  <Paragraphs>2</Paragraphs>
  <ScaleCrop>false</ScaleCrop>
  <LinksUpToDate>false</LinksUpToDate>
  <CharactersWithSpaces>1273</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2016-08-25T08:08:00Z</dcterms:created>
  <dc:creator>wangchonghu</dc:creator>
  <cp:lastModifiedBy>gjy</cp:lastModifiedBy>
  <dcterms:modified xsi:type="dcterms:W3CDTF">2016-10-28T02:45:07Z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