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60" w:lineRule="exact"/>
        <w:jc w:val="center"/>
        <w:rPr>
          <w:rFonts w:ascii="宋体" w:hAnsi="宋体"/>
          <w:b/>
          <w:color w:val="000000"/>
          <w:sz w:val="44"/>
          <w:szCs w:val="44"/>
        </w:rPr>
      </w:pPr>
      <w:r>
        <w:rPr>
          <w:rFonts w:hint="eastAsia" w:ascii="宋体" w:hAnsi="宋体"/>
          <w:b/>
          <w:color w:val="000000"/>
          <w:sz w:val="44"/>
          <w:szCs w:val="44"/>
        </w:rPr>
        <w:t>《资产评估准则</w:t>
      </w:r>
      <w:r>
        <w:rPr>
          <w:rFonts w:ascii="宋体" w:hAnsi="宋体"/>
          <w:b/>
          <w:color w:val="000000"/>
          <w:sz w:val="44"/>
          <w:szCs w:val="44"/>
        </w:rPr>
        <w:t>——</w:t>
      </w:r>
      <w:r>
        <w:rPr>
          <w:rFonts w:hint="eastAsia" w:ascii="宋体" w:hAnsi="宋体"/>
          <w:b/>
          <w:color w:val="000000"/>
          <w:sz w:val="44"/>
          <w:szCs w:val="44"/>
        </w:rPr>
        <w:t>企业价值》（</w:t>
      </w:r>
      <w:r>
        <w:rPr>
          <w:rFonts w:hint="eastAsia" w:ascii="华文中宋" w:hAnsi="华文中宋" w:eastAsia="华文中宋"/>
          <w:b/>
          <w:color w:val="000000"/>
          <w:sz w:val="44"/>
          <w:szCs w:val="44"/>
        </w:rPr>
        <w:t>修订征求意见稿</w:t>
      </w:r>
      <w:r>
        <w:rPr>
          <w:rFonts w:hint="eastAsia" w:ascii="宋体" w:hAnsi="宋体"/>
          <w:b/>
          <w:color w:val="000000"/>
          <w:sz w:val="44"/>
          <w:szCs w:val="44"/>
        </w:rPr>
        <w:t>）主要修订内容介绍</w:t>
      </w:r>
    </w:p>
    <w:p>
      <w:pPr>
        <w:spacing w:line="480" w:lineRule="auto"/>
        <w:rPr>
          <w:rFonts w:ascii="仿宋" w:hAnsi="仿宋" w:eastAsia="仿宋" w:cs="仿宋"/>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一、整体修改的主要条款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（一）原第二十条删除。</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修改理由：不是所有评估方法都涉及控制权，适宜在具体评估方法条款中对控制权的适用情况进行规范。</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（二）原第二十一条删除。</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修改理由：不是所有评估方法都涉及流动性，适宜在具体评估方法条款中对流动性的适用情况进行规范。</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（三）增加第二十条“对于适合采用不同评估方法进行企业价值评估的，资产评估师</w:t>
      </w:r>
      <w:r>
        <w:rPr>
          <w:rFonts w:hint="eastAsia" w:ascii="仿宋" w:hAnsi="仿宋" w:eastAsia="仿宋" w:cs="仿宋"/>
          <w:sz w:val="32"/>
          <w:szCs w:val="32"/>
          <w:lang w:eastAsia="zh-CN"/>
        </w:rPr>
        <w:t>和其他资产评估专业人员</w:t>
      </w:r>
      <w:r>
        <w:rPr>
          <w:rFonts w:hint="eastAsia" w:ascii="仿宋" w:hAnsi="仿宋" w:eastAsia="仿宋" w:cs="仿宋"/>
          <w:sz w:val="32"/>
          <w:szCs w:val="32"/>
        </w:rPr>
        <w:t>应当采用两种以上评估方法进行评估，通过比较分析合理形成评估结论。因方法的适用性或操作限制导致无法采用两种以上评估方法进行评估的，资产评估师</w:t>
      </w:r>
      <w:r>
        <w:rPr>
          <w:rFonts w:hint="eastAsia" w:ascii="仿宋" w:hAnsi="仿宋" w:eastAsia="仿宋" w:cs="仿宋"/>
          <w:sz w:val="32"/>
          <w:szCs w:val="32"/>
          <w:lang w:eastAsia="zh-CN"/>
        </w:rPr>
        <w:t>和其他资产评估专业人员</w:t>
      </w:r>
      <w:r>
        <w:rPr>
          <w:rFonts w:hint="eastAsia" w:ascii="仿宋" w:hAnsi="仿宋" w:eastAsia="仿宋" w:cs="仿宋"/>
          <w:sz w:val="32"/>
          <w:szCs w:val="32"/>
        </w:rPr>
        <w:t>可以采用一种方法进行评估。因适用性受限的应在报告中披露其他基本评估方法不适用的原因；因操作受限的应对所受的操作限制进行分析、说明，该限制应当是资产评估行业通常的执业方式普遍无法排除的，而不应以个别资产评估师</w:t>
      </w:r>
      <w:r>
        <w:rPr>
          <w:rFonts w:hint="eastAsia" w:ascii="仿宋" w:hAnsi="仿宋" w:eastAsia="仿宋" w:cs="仿宋"/>
          <w:sz w:val="32"/>
          <w:szCs w:val="32"/>
          <w:lang w:eastAsia="zh-CN"/>
        </w:rPr>
        <w:t>和其他资产评估专业人员</w:t>
      </w:r>
      <w:r>
        <w:rPr>
          <w:rFonts w:hint="eastAsia" w:ascii="仿宋" w:hAnsi="仿宋" w:eastAsia="仿宋" w:cs="仿宋"/>
          <w:sz w:val="32"/>
          <w:szCs w:val="32"/>
        </w:rPr>
        <w:t>的操作能力及条件作为判断标准。”</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sz w:val="32"/>
          <w:szCs w:val="32"/>
        </w:rPr>
        <w:t>修改理由：与基本准则保</w:t>
      </w:r>
      <w:r>
        <w:rPr>
          <w:rFonts w:hint="eastAsia" w:ascii="仿宋" w:hAnsi="仿宋" w:eastAsia="仿宋" w:cs="仿宋"/>
          <w:b w:val="0"/>
          <w:bCs w:val="0"/>
          <w:sz w:val="32"/>
          <w:szCs w:val="32"/>
        </w:rPr>
        <w:t>持一致。</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四）原第二十六条“现金流量折现法通常包括企业自由现金流折现模型和股权自由现金流折现模型。注册资产评估师应当根据企业未来经营模式、资本结构、资产使用状况以及未来收益的发展趋势等，恰当选择现金流折现模型。” 修改为现第二十四条增加一款“预测现金流量，既可以从市场参与者角度进行，也可以选择特定投资者的角度。在实际控制或评估目的是为了获得实际控制权情形下，从特定投资者的角度预测现金流量时，适用的价值类型是投资价值。”</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修改理由：结合国资委投资价值业务的推出，提示评估专业人员收益预测的角度不同则价值类型可能不同。</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五）原第二十七条“注册资产评估师应当充分分析被评估企业的资本结构、经营状况、历史业绩、发展前景，考虑宏观和区域经济因素、所在行业现状与发展前景对企业价值的影响，对委托方或者相关当事方提供的企业未来收益预测进行必要的分析、判断和调整，在考虑未来各种可能性及其影响的基础上合理确定评估假设，形成未来收益预测。</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 xml:space="preserve">注册资产评估师应当关注未来收益预测中主营业务收入、毛利率、营运资金、资本性支出等主要参数与评估假设的一致性。当预测趋势与企业历史业绩和现实经营状况存在重大差异时，注册资产评估师应当在评估报告中予以披露，并对产生差异的原因及其合理性进行分析。” </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修改为现第二十五条的“尽管委托人和相关当事人依法对提供的未来收益预测资料的真实性、合法性、完整性负责，资产评估师</w:t>
      </w:r>
      <w:r>
        <w:rPr>
          <w:rFonts w:hint="eastAsia" w:ascii="仿宋" w:hAnsi="仿宋" w:eastAsia="仿宋" w:cs="仿宋"/>
          <w:b w:val="0"/>
          <w:bCs w:val="0"/>
          <w:sz w:val="32"/>
          <w:szCs w:val="32"/>
          <w:lang w:eastAsia="zh-CN"/>
        </w:rPr>
        <w:t>和其他资产评估专业人员</w:t>
      </w:r>
      <w:r>
        <w:rPr>
          <w:rFonts w:hint="eastAsia" w:ascii="仿宋" w:hAnsi="仿宋" w:eastAsia="仿宋" w:cs="仿宋"/>
          <w:b w:val="0"/>
          <w:bCs w:val="0"/>
          <w:sz w:val="32"/>
          <w:szCs w:val="32"/>
        </w:rPr>
        <w:t>仍应当与委托人和相关当事人讨论未来各种可能性，结合被评估单位的人力资源、技术水平、资本结构、经营状况、历史业绩、发展趋势，考虑宏观经济因素、所在行业现状与发展前景，分析未来收益预测资料与评估目的及评估假设的适用性。</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资产评估师</w:t>
      </w:r>
      <w:r>
        <w:rPr>
          <w:rFonts w:hint="eastAsia" w:ascii="仿宋" w:hAnsi="仿宋" w:eastAsia="仿宋" w:cs="仿宋"/>
          <w:b w:val="0"/>
          <w:bCs w:val="0"/>
          <w:sz w:val="32"/>
          <w:szCs w:val="32"/>
          <w:lang w:eastAsia="zh-CN"/>
        </w:rPr>
        <w:t>和其他资产评估专业人员</w:t>
      </w:r>
      <w:r>
        <w:rPr>
          <w:rFonts w:hint="eastAsia" w:ascii="仿宋" w:hAnsi="仿宋" w:eastAsia="仿宋" w:cs="仿宋"/>
          <w:b w:val="0"/>
          <w:bCs w:val="0"/>
          <w:sz w:val="32"/>
          <w:szCs w:val="32"/>
        </w:rPr>
        <w:t>应当关注未来收益预测中经营管理、业务架构、主营业务收入、毛利率、营运资金、资本性支出等主要参数与评估假设的一致性。当预测趋势与历史业绩和现实经营状况存在重大差异时，资产评估师</w:t>
      </w:r>
      <w:r>
        <w:rPr>
          <w:rFonts w:hint="eastAsia" w:ascii="仿宋" w:hAnsi="仿宋" w:eastAsia="仿宋" w:cs="仿宋"/>
          <w:b w:val="0"/>
          <w:bCs w:val="0"/>
          <w:sz w:val="32"/>
          <w:szCs w:val="32"/>
          <w:lang w:eastAsia="zh-CN"/>
        </w:rPr>
        <w:t>和其他资产评估专业人员</w:t>
      </w:r>
      <w:r>
        <w:rPr>
          <w:rFonts w:hint="eastAsia" w:ascii="仿宋" w:hAnsi="仿宋" w:eastAsia="仿宋" w:cs="仿宋"/>
          <w:b w:val="0"/>
          <w:bCs w:val="0"/>
          <w:sz w:val="32"/>
          <w:szCs w:val="32"/>
        </w:rPr>
        <w:t>应当要求委托人和相关当事人说明差异的合理性及可持续性，核查与评估假设一致后在评估报告中予以披露。”</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修改理由：与评估法和基本准则表达一致，合理划分责任，便于操作。</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（七）原第三十五条第二款“上市公司比较法中的可比企业应当是公开市场上正常交易的上市公司，评估结论应当考虑流动性对评估对象价值的影响。” 修改为现第三十三条第二款“上市公司比较法中的可比企业应当是公开市场上正常交易的上市公司。在适当及切实可行的情况下，评估结果应当考虑控制权和流动性对评估对象价值的影响。”</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修改理由：提示上市公司比较法中的案例股票价格与标的资产通常存在控制权和流动性的差异。</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（八）原第三十六条第二款“运用交易案例比较法时，应当考虑评估对象与交易案例的差异因素对价值的影响。” 修改为现第三十四条第二款“控制权以及交易数量可能影响交易案例比较法中的可比企业交易价格。在适当及切实可行的情况下，应当考虑评估对象与交易案例在控制权和流动性方面的差异及其对评估对象价值的影响。”</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修改理由：可比企业交易价格受控制权和交易数量影响，提示从这些角度是否存在差异分析是否考虑控制权和流动性修正。</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（九）增加现第五十条“资产评估师</w:t>
      </w:r>
      <w:r>
        <w:rPr>
          <w:rFonts w:hint="eastAsia" w:ascii="仿宋" w:hAnsi="仿宋" w:eastAsia="仿宋" w:cs="仿宋"/>
          <w:b w:val="0"/>
          <w:bCs w:val="0"/>
          <w:sz w:val="32"/>
          <w:szCs w:val="32"/>
          <w:lang w:eastAsia="zh-CN"/>
        </w:rPr>
        <w:t>和其他资产评估专业人员</w:t>
      </w:r>
      <w:r>
        <w:rPr>
          <w:rFonts w:hint="eastAsia" w:ascii="仿宋" w:hAnsi="仿宋" w:eastAsia="仿宋" w:cs="仿宋"/>
          <w:b w:val="0"/>
          <w:bCs w:val="0"/>
          <w:sz w:val="32"/>
          <w:szCs w:val="32"/>
        </w:rPr>
        <w:t xml:space="preserve">应当在评估报告中披露无法核查验证的事项及其对评估结果的影响。” </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修改理由：与评估法和基本准则保持一致。</w:t>
      </w:r>
    </w:p>
    <w:p>
      <w:pPr>
        <w:spacing w:line="480" w:lineRule="auto"/>
        <w:ind w:firstLine="640" w:firstLineChars="200"/>
        <w:rPr>
          <w:rFonts w:ascii="仿宋" w:hAnsi="仿宋" w:eastAsia="仿宋" w:cs="仿宋"/>
          <w:sz w:val="32"/>
          <w:szCs w:val="32"/>
        </w:rPr>
      </w:pPr>
      <w:r>
        <w:rPr>
          <w:rFonts w:hint="eastAsia" w:ascii="仿宋" w:hAnsi="仿宋" w:eastAsia="仿宋" w:cs="仿宋"/>
          <w:b w:val="0"/>
          <w:bCs w:val="0"/>
          <w:sz w:val="32"/>
          <w:szCs w:val="32"/>
        </w:rPr>
        <w:t>（十）增加现第五十一条“资产评估师</w:t>
      </w:r>
      <w:r>
        <w:rPr>
          <w:rFonts w:hint="eastAsia" w:ascii="仿宋" w:hAnsi="仿宋" w:eastAsia="仿宋" w:cs="仿宋"/>
          <w:b w:val="0"/>
          <w:bCs w:val="0"/>
          <w:sz w:val="32"/>
          <w:szCs w:val="32"/>
          <w:lang w:eastAsia="zh-CN"/>
        </w:rPr>
        <w:t>和其他资产评估专业人员</w:t>
      </w:r>
      <w:r>
        <w:rPr>
          <w:rFonts w:hint="eastAsia" w:ascii="仿宋" w:hAnsi="仿宋" w:eastAsia="仿宋" w:cs="仿宋"/>
          <w:b w:val="0"/>
          <w:bCs w:val="0"/>
          <w:sz w:val="32"/>
          <w:szCs w:val="32"/>
        </w:rPr>
        <w:t>应当在评估报告中载明：委托人或者评估报告使用人未按法律法规规定和评估报告载明的使用范围使用评估报告的，资产评估机构及其资产评估专业人员不承担责任；除委托人、评估委托合同中约定的其他评估报告</w:t>
      </w:r>
      <w:r>
        <w:rPr>
          <w:rFonts w:hint="eastAsia" w:ascii="仿宋" w:hAnsi="仿宋" w:eastAsia="仿宋" w:cs="仿宋"/>
          <w:sz w:val="32"/>
          <w:szCs w:val="32"/>
        </w:rPr>
        <w:t>使用人和国家法律、法规规定的评估报告使用人之外，任何机构和个人不能由于得到评估报告而成为评估报告的使用人。”</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修改理由：与评估法和基本准则保持一致。</w:t>
      </w:r>
    </w:p>
    <w:p>
      <w:pPr>
        <w:spacing w:line="480" w:lineRule="auto"/>
        <w:ind w:firstLine="640" w:firstLineChars="200"/>
        <w:rPr>
          <w:rFonts w:ascii="仿宋" w:hAnsi="仿宋" w:eastAsia="仿宋" w:cs="仿宋"/>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二、部分修改的主要条款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 xml:space="preserve"> （一）原第十二条中的“谨慎区分企业整体价值、股东全部权益价值和股东部分权益价值。”修改为现第十一条的“</w:t>
      </w:r>
      <w:r>
        <w:rPr>
          <w:rFonts w:hint="eastAsia" w:ascii="仿宋" w:hAnsi="仿宋" w:eastAsia="仿宋" w:cs="仿宋"/>
          <w:b/>
          <w:bCs/>
          <w:sz w:val="32"/>
          <w:szCs w:val="32"/>
        </w:rPr>
        <w:t>企业价值评估中的评估对象包括</w:t>
      </w:r>
      <w:r>
        <w:rPr>
          <w:rFonts w:hint="eastAsia" w:ascii="仿宋" w:hAnsi="仿宋" w:eastAsia="仿宋" w:cs="仿宋"/>
          <w:sz w:val="32"/>
          <w:szCs w:val="32"/>
        </w:rPr>
        <w:t>整体企业权益、股东全部权益和股东部分权益等。”。</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修改理由：评估对象表述更准确。</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（二）原第十三条中的“恰当选择价值类型，并合理使用评估假设。”修改为现第十一条的“</w:t>
      </w:r>
      <w:r>
        <w:rPr>
          <w:rFonts w:hint="eastAsia" w:ascii="仿宋" w:hAnsi="仿宋" w:eastAsia="仿宋" w:cs="仿宋"/>
          <w:b/>
          <w:sz w:val="32"/>
          <w:szCs w:val="32"/>
        </w:rPr>
        <w:t>合理使用评估假设，恰当选择价值类型。企业价值评估当中常见的价值类型为市场价值和投资价值。</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修改理由：调整价值类型和评估假设表述顺序，逻辑更准确，并对常用价值类型进行提示。</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（三）原第十五条中的“无论财务报表是否经过审计，注册资产评估师都应当对其进行必要的分析和专业判断。”删除。</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对会计报表进行专业判断是注册会计师的专业胜任能力，删除此款是避免报告使用者误解评估专业人员对会计报表进行保证。在运用收益法和市场法评估时，评估专业人员对标的资产和可比对象的一致性进行的调整，不是对标的资产会计报表公允性发表的专业意见。</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四）原第十六条中的“注册资产评估师运用收益法和市场法进行企业价值评估，应当根据评估对象、价值类型等相关条件，在与委托方和相关当事方协商并获得有关信息的基础上，对被评估企业和可比企业财务报表进行必要的分析和调整，以合理反映企业的财务状况和盈利能力。”修改为现第十五条的“运用收益法和市场法进行企业价值评估时，可以根据评估对象、评估假设、价值类型等相关条件，</w:t>
      </w:r>
      <w:r>
        <w:rPr>
          <w:rFonts w:hint="eastAsia" w:ascii="仿宋" w:hAnsi="仿宋" w:eastAsia="仿宋" w:cs="仿宋"/>
          <w:b/>
          <w:sz w:val="32"/>
          <w:szCs w:val="32"/>
        </w:rPr>
        <w:t>在与委托人和相关当事人协商并获得有关信息的基础上，对被评估企业和可比企业财务报表进行必要的分析和调整，以使所采用的评估模型更加合理、可比。</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修改理由：明确评估师对财务报表分析和调整的目的是“为我所用”，而不是“编制”更高质量的财务报表。</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（五）原第十七条中的“谨慎识别非经营性资产、负债和溢余资产，并对其进行单独分析和评估。”修改为现第十六条的“谨慎识别非经营性资产、负债和溢余资产，并</w:t>
      </w:r>
      <w:r>
        <w:rPr>
          <w:rFonts w:hint="eastAsia" w:ascii="仿宋" w:hAnsi="仿宋" w:eastAsia="仿宋" w:cs="仿宋"/>
          <w:b/>
          <w:sz w:val="32"/>
          <w:szCs w:val="32"/>
        </w:rPr>
        <w:t>根据相关现金流模型和可比案例相关信息获得情况，确定是否单独评估。</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修改理由：评估专业人员可根据信息获取情况选择更具操作性处理方式。</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（六）原第二十五条中的“股利折现法是将预期股利进行折现以确定评估对象价值的具体方法，通常适用于缺乏控制权的股东部分权益价值的评估。”修改为现第二十三条增加一款“</w:t>
      </w:r>
      <w:r>
        <w:rPr>
          <w:rFonts w:hint="eastAsia" w:ascii="仿宋" w:hAnsi="仿宋" w:eastAsia="仿宋" w:cs="仿宋"/>
          <w:b/>
          <w:sz w:val="32"/>
          <w:szCs w:val="32"/>
        </w:rPr>
        <w:t>股利折现法的预期股利一般应</w:t>
      </w:r>
      <w:r>
        <w:rPr>
          <w:rFonts w:ascii="仿宋" w:hAnsi="仿宋" w:eastAsia="仿宋" w:cs="仿宋"/>
          <w:b/>
          <w:sz w:val="32"/>
          <w:szCs w:val="32"/>
        </w:rPr>
        <w:t>体现市场参与者的</w:t>
      </w:r>
      <w:r>
        <w:rPr>
          <w:rFonts w:hint="eastAsia" w:ascii="仿宋" w:hAnsi="仿宋" w:eastAsia="仿宋" w:cs="仿宋"/>
          <w:b/>
          <w:sz w:val="32"/>
          <w:szCs w:val="32"/>
        </w:rPr>
        <w:t>通常</w:t>
      </w:r>
      <w:r>
        <w:rPr>
          <w:rFonts w:ascii="仿宋" w:hAnsi="仿宋" w:eastAsia="仿宋" w:cs="仿宋"/>
          <w:b/>
          <w:sz w:val="32"/>
          <w:szCs w:val="32"/>
        </w:rPr>
        <w:t>预期</w:t>
      </w:r>
      <w:r>
        <w:rPr>
          <w:rFonts w:hint="eastAsia" w:ascii="仿宋" w:hAnsi="仿宋" w:eastAsia="仿宋" w:cs="仿宋"/>
          <w:b/>
          <w:sz w:val="32"/>
          <w:szCs w:val="32"/>
        </w:rPr>
        <w:t>，适用的价值类型通常为</w:t>
      </w:r>
      <w:r>
        <w:rPr>
          <w:rFonts w:ascii="仿宋" w:hAnsi="仿宋" w:eastAsia="仿宋" w:cs="仿宋"/>
          <w:b/>
          <w:sz w:val="32"/>
          <w:szCs w:val="32"/>
        </w:rPr>
        <w:t>市场价值</w:t>
      </w:r>
      <w:r>
        <w:rPr>
          <w:rFonts w:hint="eastAsia" w:ascii="仿宋" w:hAnsi="仿宋" w:eastAsia="仿宋" w:cs="仿宋"/>
          <w:b/>
          <w:sz w:val="32"/>
          <w:szCs w:val="32"/>
        </w:rPr>
        <w:t>。</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修改理由：提示评估专业人员股利预测的主要方式和价值类型。</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（七）原第三十条中的“</w:t>
      </w:r>
      <w:r>
        <w:rPr>
          <w:rFonts w:hint="eastAsia" w:ascii="仿宋" w:hAnsi="仿宋" w:eastAsia="仿宋" w:cs="仿宋"/>
          <w:b/>
          <w:bCs/>
          <w:sz w:val="32"/>
          <w:szCs w:val="32"/>
        </w:rPr>
        <w:t>注册资产评估师</w:t>
      </w:r>
      <w:r>
        <w:rPr>
          <w:rFonts w:hint="eastAsia" w:ascii="仿宋" w:hAnsi="仿宋" w:eastAsia="仿宋" w:cs="仿宋"/>
          <w:sz w:val="32"/>
          <w:szCs w:val="32"/>
        </w:rPr>
        <w:t>应当综合考虑评估基准日的利率水平、市场投资收益率等资本市场相关信息和所在行业、被评估企业的特定风险等相关因素，合理确定折现率。”修改为现第二十八条的“</w:t>
      </w:r>
      <w:r>
        <w:rPr>
          <w:rFonts w:hint="eastAsia" w:ascii="仿宋" w:hAnsi="仿宋" w:eastAsia="仿宋" w:cs="仿宋"/>
          <w:b/>
          <w:bCs/>
          <w:sz w:val="32"/>
          <w:szCs w:val="32"/>
        </w:rPr>
        <w:t>资产评估师</w:t>
      </w:r>
      <w:r>
        <w:rPr>
          <w:rFonts w:hint="eastAsia" w:ascii="仿宋" w:hAnsi="仿宋" w:eastAsia="仿宋" w:cs="仿宋"/>
          <w:b/>
          <w:bCs/>
          <w:sz w:val="32"/>
          <w:szCs w:val="32"/>
          <w:lang w:eastAsia="zh-CN"/>
        </w:rPr>
        <w:t>和其他资产评估专业人员</w:t>
      </w:r>
      <w:r>
        <w:rPr>
          <w:rFonts w:hint="eastAsia" w:ascii="仿宋" w:hAnsi="仿宋" w:eastAsia="仿宋" w:cs="仿宋"/>
          <w:b/>
          <w:bCs/>
          <w:sz w:val="32"/>
          <w:szCs w:val="32"/>
        </w:rPr>
        <w:t>确定折现率</w:t>
      </w:r>
      <w:r>
        <w:rPr>
          <w:rFonts w:hint="eastAsia" w:ascii="仿宋" w:hAnsi="仿宋" w:eastAsia="仿宋" w:cs="仿宋"/>
          <w:b w:val="0"/>
          <w:bCs w:val="0"/>
          <w:sz w:val="32"/>
          <w:szCs w:val="32"/>
        </w:rPr>
        <w:t>，</w:t>
      </w:r>
      <w:r>
        <w:rPr>
          <w:rFonts w:hint="eastAsia" w:ascii="仿宋" w:hAnsi="仿宋" w:eastAsia="仿宋" w:cs="仿宋"/>
          <w:sz w:val="32"/>
          <w:szCs w:val="32"/>
        </w:rPr>
        <w:t>应当综合考虑评估基准日的利率水平、市场投资收益率等资本市场相关信息和所在行业、被评估单位的特定风险等相关因素。”</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修改理由：表达更符合逻辑。</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（八）原第三十一条中的“</w:t>
      </w:r>
      <w:r>
        <w:rPr>
          <w:rFonts w:hint="eastAsia" w:ascii="仿宋" w:hAnsi="仿宋" w:eastAsia="仿宋" w:cs="仿宋"/>
          <w:b/>
          <w:bCs/>
          <w:sz w:val="32"/>
          <w:szCs w:val="32"/>
        </w:rPr>
        <w:t>注册资产评估师</w:t>
      </w:r>
      <w:r>
        <w:rPr>
          <w:rFonts w:hint="eastAsia" w:ascii="仿宋" w:hAnsi="仿宋" w:eastAsia="仿宋" w:cs="仿宋"/>
          <w:sz w:val="32"/>
          <w:szCs w:val="32"/>
        </w:rPr>
        <w:t>应当根据企业未来收益趋势、终止经营后的处置方式等，选择恰当的方法估算预测期后的价值。”修改为现第二十九条的“</w:t>
      </w:r>
      <w:r>
        <w:rPr>
          <w:rFonts w:hint="eastAsia" w:ascii="仿宋" w:hAnsi="仿宋" w:eastAsia="仿宋" w:cs="仿宋"/>
          <w:b/>
          <w:bCs/>
          <w:sz w:val="32"/>
          <w:szCs w:val="32"/>
        </w:rPr>
        <w:t>资产评估师</w:t>
      </w:r>
      <w:r>
        <w:rPr>
          <w:rFonts w:hint="eastAsia" w:ascii="仿宋" w:hAnsi="仿宋" w:eastAsia="仿宋" w:cs="仿宋"/>
          <w:b/>
          <w:bCs/>
          <w:sz w:val="32"/>
          <w:szCs w:val="32"/>
          <w:lang w:eastAsia="zh-CN"/>
        </w:rPr>
        <w:t>和其他资产评估专业人员</w:t>
      </w:r>
      <w:r>
        <w:rPr>
          <w:rFonts w:hint="eastAsia" w:ascii="仿宋" w:hAnsi="仿宋" w:eastAsia="仿宋" w:cs="仿宋"/>
          <w:sz w:val="32"/>
          <w:szCs w:val="32"/>
        </w:rPr>
        <w:t>应当根据企业</w:t>
      </w:r>
      <w:r>
        <w:rPr>
          <w:rFonts w:hint="eastAsia" w:ascii="仿宋" w:hAnsi="仿宋" w:eastAsia="仿宋" w:cs="仿宋"/>
          <w:b/>
          <w:sz w:val="32"/>
          <w:szCs w:val="32"/>
        </w:rPr>
        <w:t>进入稳定期的因素分析预测期后的收益趋势</w:t>
      </w:r>
      <w:r>
        <w:rPr>
          <w:rFonts w:hint="eastAsia" w:ascii="仿宋" w:hAnsi="仿宋" w:eastAsia="仿宋" w:cs="仿宋"/>
          <w:sz w:val="32"/>
          <w:szCs w:val="32"/>
        </w:rPr>
        <w:t>、终止经营后的处置方式等，选择恰当的方法估算预测期后的价值。”</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修改理由：增加提示。</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九）原第三十九条中的“企业价值评估中的资产基础法，是指以被评估企业评估基准日的资产负债表为基础，合理评估企业表内及表外各项资产、负债价值，确定评估对象价值的评估方法。”修改为现第三十七条的“企业价值评估中的资产基础法，是指以被评估单位评估基准日的资产负债表为基础，通过评估企业表内及表外各项资产、负债</w:t>
      </w:r>
      <w:r>
        <w:rPr>
          <w:rFonts w:hint="eastAsia" w:ascii="仿宋" w:hAnsi="仿宋" w:eastAsia="仿宋" w:cs="仿宋"/>
          <w:b/>
          <w:sz w:val="32"/>
          <w:szCs w:val="32"/>
        </w:rPr>
        <w:t>对整体的贡献价值</w:t>
      </w:r>
      <w:r>
        <w:rPr>
          <w:rFonts w:hint="eastAsia" w:ascii="仿宋" w:hAnsi="仿宋" w:eastAsia="仿宋" w:cs="仿宋"/>
          <w:sz w:val="32"/>
          <w:szCs w:val="32"/>
        </w:rPr>
        <w:t>，</w:t>
      </w:r>
      <w:bookmarkStart w:id="0" w:name="_GoBack"/>
      <w:bookmarkEnd w:id="0"/>
      <w:r>
        <w:rPr>
          <w:rFonts w:hint="eastAsia" w:ascii="仿宋" w:hAnsi="仿宋" w:eastAsia="仿宋" w:cs="仿宋"/>
          <w:sz w:val="32"/>
          <w:szCs w:val="32"/>
        </w:rPr>
        <w:t>合理确定评估对象价值的评估方法。”</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修改理由：提示应从各项要素资产对评估对象的贡献价值角度出发评估各要素资产。</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（十）原第五十一条增加一款为现第四十九条的“</w:t>
      </w:r>
      <w:r>
        <w:rPr>
          <w:rFonts w:hint="eastAsia" w:ascii="仿宋" w:hAnsi="仿宋" w:eastAsia="仿宋" w:cs="仿宋"/>
          <w:b/>
          <w:bCs/>
          <w:sz w:val="32"/>
          <w:szCs w:val="32"/>
        </w:rPr>
        <w:t>（四）在适当及切实可行的情况下考虑的控制权和流动性影响；</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修改理由：将对控制权和流动性的披露方式放在评估方法当中。</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DA9"/>
    <w:rsid w:val="000C6977"/>
    <w:rsid w:val="00145136"/>
    <w:rsid w:val="00197DA9"/>
    <w:rsid w:val="001B50D4"/>
    <w:rsid w:val="001C577D"/>
    <w:rsid w:val="001F4E76"/>
    <w:rsid w:val="002366B7"/>
    <w:rsid w:val="002425A8"/>
    <w:rsid w:val="00245AB1"/>
    <w:rsid w:val="0027234C"/>
    <w:rsid w:val="002953DC"/>
    <w:rsid w:val="002E1DA0"/>
    <w:rsid w:val="00303D2C"/>
    <w:rsid w:val="00345E2F"/>
    <w:rsid w:val="003A7012"/>
    <w:rsid w:val="003B18D1"/>
    <w:rsid w:val="003B1A0D"/>
    <w:rsid w:val="003E31CF"/>
    <w:rsid w:val="003E37EB"/>
    <w:rsid w:val="0040492C"/>
    <w:rsid w:val="00495160"/>
    <w:rsid w:val="004B2539"/>
    <w:rsid w:val="004D610E"/>
    <w:rsid w:val="005057F3"/>
    <w:rsid w:val="005544DC"/>
    <w:rsid w:val="00586FE4"/>
    <w:rsid w:val="00592475"/>
    <w:rsid w:val="005A4CC2"/>
    <w:rsid w:val="005D2EC8"/>
    <w:rsid w:val="005D34BA"/>
    <w:rsid w:val="005D5034"/>
    <w:rsid w:val="005E7C13"/>
    <w:rsid w:val="006056AF"/>
    <w:rsid w:val="006355AE"/>
    <w:rsid w:val="006941BF"/>
    <w:rsid w:val="006956C8"/>
    <w:rsid w:val="006A003F"/>
    <w:rsid w:val="006E048B"/>
    <w:rsid w:val="00732F39"/>
    <w:rsid w:val="0075344B"/>
    <w:rsid w:val="007B11A7"/>
    <w:rsid w:val="007C5E0E"/>
    <w:rsid w:val="007E4B20"/>
    <w:rsid w:val="00804A31"/>
    <w:rsid w:val="008179B9"/>
    <w:rsid w:val="00832E8A"/>
    <w:rsid w:val="00851505"/>
    <w:rsid w:val="008B35CF"/>
    <w:rsid w:val="008D747A"/>
    <w:rsid w:val="0094567E"/>
    <w:rsid w:val="009924A5"/>
    <w:rsid w:val="00995BF7"/>
    <w:rsid w:val="009A0B64"/>
    <w:rsid w:val="009D4683"/>
    <w:rsid w:val="009E1084"/>
    <w:rsid w:val="009F6F41"/>
    <w:rsid w:val="00A13224"/>
    <w:rsid w:val="00A20AC2"/>
    <w:rsid w:val="00A2693F"/>
    <w:rsid w:val="00A45623"/>
    <w:rsid w:val="00A766D1"/>
    <w:rsid w:val="00A8224F"/>
    <w:rsid w:val="00AC78C8"/>
    <w:rsid w:val="00AD2FC0"/>
    <w:rsid w:val="00AE7C29"/>
    <w:rsid w:val="00B2631A"/>
    <w:rsid w:val="00B41D41"/>
    <w:rsid w:val="00B45378"/>
    <w:rsid w:val="00B72F48"/>
    <w:rsid w:val="00B94F91"/>
    <w:rsid w:val="00B95C1F"/>
    <w:rsid w:val="00BD4CEE"/>
    <w:rsid w:val="00BF320B"/>
    <w:rsid w:val="00C07C2A"/>
    <w:rsid w:val="00C43641"/>
    <w:rsid w:val="00C962D6"/>
    <w:rsid w:val="00CE1FB1"/>
    <w:rsid w:val="00D10D98"/>
    <w:rsid w:val="00D1124E"/>
    <w:rsid w:val="00DC2FCA"/>
    <w:rsid w:val="00DE265D"/>
    <w:rsid w:val="00E32B40"/>
    <w:rsid w:val="00E41A18"/>
    <w:rsid w:val="00E47596"/>
    <w:rsid w:val="00E866B7"/>
    <w:rsid w:val="00EC1008"/>
    <w:rsid w:val="00F07511"/>
    <w:rsid w:val="00F13102"/>
    <w:rsid w:val="00F94864"/>
    <w:rsid w:val="00FE135E"/>
    <w:rsid w:val="00FF287D"/>
    <w:rsid w:val="014D1B1B"/>
    <w:rsid w:val="01587605"/>
    <w:rsid w:val="01724BC9"/>
    <w:rsid w:val="02106B61"/>
    <w:rsid w:val="02A7342D"/>
    <w:rsid w:val="02D31E68"/>
    <w:rsid w:val="03590D98"/>
    <w:rsid w:val="03F4046E"/>
    <w:rsid w:val="04A502BF"/>
    <w:rsid w:val="053F2ADE"/>
    <w:rsid w:val="054A590E"/>
    <w:rsid w:val="05541FD6"/>
    <w:rsid w:val="05A00170"/>
    <w:rsid w:val="069B6982"/>
    <w:rsid w:val="07DE5587"/>
    <w:rsid w:val="07E13A8D"/>
    <w:rsid w:val="08875AA8"/>
    <w:rsid w:val="08CC545E"/>
    <w:rsid w:val="09090BAC"/>
    <w:rsid w:val="09B51A32"/>
    <w:rsid w:val="0A387D89"/>
    <w:rsid w:val="0B716E6D"/>
    <w:rsid w:val="0C0A629C"/>
    <w:rsid w:val="0C2C6E59"/>
    <w:rsid w:val="0C491FBE"/>
    <w:rsid w:val="0C783895"/>
    <w:rsid w:val="0CC62F81"/>
    <w:rsid w:val="0D0641C8"/>
    <w:rsid w:val="0D941348"/>
    <w:rsid w:val="0DEE7FE3"/>
    <w:rsid w:val="0EF2207A"/>
    <w:rsid w:val="100C7D85"/>
    <w:rsid w:val="10551ABD"/>
    <w:rsid w:val="10607D70"/>
    <w:rsid w:val="11696D46"/>
    <w:rsid w:val="1208149D"/>
    <w:rsid w:val="121764BB"/>
    <w:rsid w:val="132B3F51"/>
    <w:rsid w:val="13337B33"/>
    <w:rsid w:val="1356688C"/>
    <w:rsid w:val="13844489"/>
    <w:rsid w:val="1448146E"/>
    <w:rsid w:val="15703732"/>
    <w:rsid w:val="15907D44"/>
    <w:rsid w:val="160D4DFE"/>
    <w:rsid w:val="161F4B27"/>
    <w:rsid w:val="16377F07"/>
    <w:rsid w:val="163F3253"/>
    <w:rsid w:val="165755EA"/>
    <w:rsid w:val="16E7609B"/>
    <w:rsid w:val="176F2E91"/>
    <w:rsid w:val="178F6EE1"/>
    <w:rsid w:val="17EA68B1"/>
    <w:rsid w:val="18ED5369"/>
    <w:rsid w:val="196A0DB4"/>
    <w:rsid w:val="19BC78A5"/>
    <w:rsid w:val="19C91EFD"/>
    <w:rsid w:val="1A771A1B"/>
    <w:rsid w:val="1AAE0B28"/>
    <w:rsid w:val="1AFB32CF"/>
    <w:rsid w:val="1B355B0B"/>
    <w:rsid w:val="1CB95B4E"/>
    <w:rsid w:val="1D0F0FA6"/>
    <w:rsid w:val="1D427CE7"/>
    <w:rsid w:val="1D6818EA"/>
    <w:rsid w:val="1DD37DB6"/>
    <w:rsid w:val="1DEC4830"/>
    <w:rsid w:val="1E665DD1"/>
    <w:rsid w:val="1ECB57F3"/>
    <w:rsid w:val="1ED90E64"/>
    <w:rsid w:val="1EFF6F78"/>
    <w:rsid w:val="1FCF4EDC"/>
    <w:rsid w:val="20434136"/>
    <w:rsid w:val="204B598E"/>
    <w:rsid w:val="2121304C"/>
    <w:rsid w:val="21DC0226"/>
    <w:rsid w:val="22241D27"/>
    <w:rsid w:val="23323679"/>
    <w:rsid w:val="239671E5"/>
    <w:rsid w:val="23A50A14"/>
    <w:rsid w:val="23DA04A9"/>
    <w:rsid w:val="241D61D7"/>
    <w:rsid w:val="24420AF6"/>
    <w:rsid w:val="244D185F"/>
    <w:rsid w:val="24AD42A0"/>
    <w:rsid w:val="262428FB"/>
    <w:rsid w:val="268D2C87"/>
    <w:rsid w:val="282F25B9"/>
    <w:rsid w:val="284112CE"/>
    <w:rsid w:val="286E1F48"/>
    <w:rsid w:val="288D5ED3"/>
    <w:rsid w:val="28FB56BA"/>
    <w:rsid w:val="2A041B1B"/>
    <w:rsid w:val="2A302EAE"/>
    <w:rsid w:val="2AA62BFB"/>
    <w:rsid w:val="2C117D94"/>
    <w:rsid w:val="2C515116"/>
    <w:rsid w:val="2D51633C"/>
    <w:rsid w:val="2D5C6F18"/>
    <w:rsid w:val="2D951CD7"/>
    <w:rsid w:val="2D9E06D1"/>
    <w:rsid w:val="2E1B40DA"/>
    <w:rsid w:val="2E841961"/>
    <w:rsid w:val="2F961B26"/>
    <w:rsid w:val="2FAC1D66"/>
    <w:rsid w:val="2FBF4B31"/>
    <w:rsid w:val="2FF0628E"/>
    <w:rsid w:val="30556A14"/>
    <w:rsid w:val="305B054C"/>
    <w:rsid w:val="305B0B19"/>
    <w:rsid w:val="30874FE6"/>
    <w:rsid w:val="30F35871"/>
    <w:rsid w:val="317B77AD"/>
    <w:rsid w:val="31E50C1D"/>
    <w:rsid w:val="331C0296"/>
    <w:rsid w:val="332630ED"/>
    <w:rsid w:val="336B13DE"/>
    <w:rsid w:val="33837B6A"/>
    <w:rsid w:val="33B56607"/>
    <w:rsid w:val="33C24A0F"/>
    <w:rsid w:val="34154E02"/>
    <w:rsid w:val="343765CD"/>
    <w:rsid w:val="349C1372"/>
    <w:rsid w:val="353458CC"/>
    <w:rsid w:val="358912FE"/>
    <w:rsid w:val="370825DA"/>
    <w:rsid w:val="37DE3137"/>
    <w:rsid w:val="38863F74"/>
    <w:rsid w:val="39DC65C0"/>
    <w:rsid w:val="3A3D502F"/>
    <w:rsid w:val="3A465815"/>
    <w:rsid w:val="3AA83EF3"/>
    <w:rsid w:val="3B4C36F6"/>
    <w:rsid w:val="3B5962B6"/>
    <w:rsid w:val="3D1E6312"/>
    <w:rsid w:val="3D7D41C2"/>
    <w:rsid w:val="3DCC23E1"/>
    <w:rsid w:val="3E81033E"/>
    <w:rsid w:val="3EFB0B05"/>
    <w:rsid w:val="3F6619DF"/>
    <w:rsid w:val="404F27B0"/>
    <w:rsid w:val="40637080"/>
    <w:rsid w:val="406F5F34"/>
    <w:rsid w:val="40761CFB"/>
    <w:rsid w:val="40A0433B"/>
    <w:rsid w:val="41470E54"/>
    <w:rsid w:val="41E95A89"/>
    <w:rsid w:val="421F3C62"/>
    <w:rsid w:val="42765D39"/>
    <w:rsid w:val="42D17B63"/>
    <w:rsid w:val="43067F2D"/>
    <w:rsid w:val="43480F1A"/>
    <w:rsid w:val="438E1E8C"/>
    <w:rsid w:val="43E67FBA"/>
    <w:rsid w:val="43E70341"/>
    <w:rsid w:val="43F61D1A"/>
    <w:rsid w:val="44B00AF2"/>
    <w:rsid w:val="44DF1F42"/>
    <w:rsid w:val="44E54492"/>
    <w:rsid w:val="456E2D1E"/>
    <w:rsid w:val="46317218"/>
    <w:rsid w:val="467E2385"/>
    <w:rsid w:val="46A3521A"/>
    <w:rsid w:val="474D1B5A"/>
    <w:rsid w:val="479E5861"/>
    <w:rsid w:val="47D01E76"/>
    <w:rsid w:val="488D6B47"/>
    <w:rsid w:val="48A3285B"/>
    <w:rsid w:val="4AAA6B59"/>
    <w:rsid w:val="4B2E7A5F"/>
    <w:rsid w:val="4B7E15FE"/>
    <w:rsid w:val="4B882D8A"/>
    <w:rsid w:val="4B9A122F"/>
    <w:rsid w:val="4BC47239"/>
    <w:rsid w:val="4C013CF0"/>
    <w:rsid w:val="4C144149"/>
    <w:rsid w:val="4CEA236C"/>
    <w:rsid w:val="4D8A4087"/>
    <w:rsid w:val="4DA75CFD"/>
    <w:rsid w:val="4E681793"/>
    <w:rsid w:val="4EC1452A"/>
    <w:rsid w:val="4EF16780"/>
    <w:rsid w:val="4FB51C5F"/>
    <w:rsid w:val="4FE43BF6"/>
    <w:rsid w:val="50B702E3"/>
    <w:rsid w:val="50D42923"/>
    <w:rsid w:val="51C47A59"/>
    <w:rsid w:val="51FF34DC"/>
    <w:rsid w:val="524E1490"/>
    <w:rsid w:val="52E973AC"/>
    <w:rsid w:val="53AE67F9"/>
    <w:rsid w:val="53B97701"/>
    <w:rsid w:val="549F6A14"/>
    <w:rsid w:val="54BD5EA5"/>
    <w:rsid w:val="54D1361A"/>
    <w:rsid w:val="54DE78C9"/>
    <w:rsid w:val="54EB0DB7"/>
    <w:rsid w:val="5516492B"/>
    <w:rsid w:val="552F223A"/>
    <w:rsid w:val="55792E3D"/>
    <w:rsid w:val="55810562"/>
    <w:rsid w:val="558877A6"/>
    <w:rsid w:val="55933FF1"/>
    <w:rsid w:val="559724F3"/>
    <w:rsid w:val="56932510"/>
    <w:rsid w:val="56BD41AC"/>
    <w:rsid w:val="56CE2B10"/>
    <w:rsid w:val="56F26D7A"/>
    <w:rsid w:val="572F289E"/>
    <w:rsid w:val="57952044"/>
    <w:rsid w:val="58124A68"/>
    <w:rsid w:val="58580761"/>
    <w:rsid w:val="587C0230"/>
    <w:rsid w:val="592D2D9D"/>
    <w:rsid w:val="59A831DE"/>
    <w:rsid w:val="59CE6E09"/>
    <w:rsid w:val="59E70E7F"/>
    <w:rsid w:val="5A52740B"/>
    <w:rsid w:val="5AAA45A9"/>
    <w:rsid w:val="5B280CAA"/>
    <w:rsid w:val="5CA32C0E"/>
    <w:rsid w:val="5CD71C3D"/>
    <w:rsid w:val="5D7C2E55"/>
    <w:rsid w:val="5D7F2D99"/>
    <w:rsid w:val="5E237770"/>
    <w:rsid w:val="5EEE5BEF"/>
    <w:rsid w:val="5EF1378B"/>
    <w:rsid w:val="5F88611C"/>
    <w:rsid w:val="60344AA5"/>
    <w:rsid w:val="60B646B4"/>
    <w:rsid w:val="60C07345"/>
    <w:rsid w:val="61221F34"/>
    <w:rsid w:val="61292137"/>
    <w:rsid w:val="62C0582F"/>
    <w:rsid w:val="62F86C77"/>
    <w:rsid w:val="631F76AB"/>
    <w:rsid w:val="63346AD5"/>
    <w:rsid w:val="633D7CF4"/>
    <w:rsid w:val="63894425"/>
    <w:rsid w:val="63A076B5"/>
    <w:rsid w:val="63AA1D98"/>
    <w:rsid w:val="645858DC"/>
    <w:rsid w:val="6485430C"/>
    <w:rsid w:val="64876406"/>
    <w:rsid w:val="64B36AE7"/>
    <w:rsid w:val="65670AA1"/>
    <w:rsid w:val="658C7682"/>
    <w:rsid w:val="65A0692F"/>
    <w:rsid w:val="678656E7"/>
    <w:rsid w:val="67CF526D"/>
    <w:rsid w:val="683740DB"/>
    <w:rsid w:val="684E3A92"/>
    <w:rsid w:val="68C822E8"/>
    <w:rsid w:val="68D10A82"/>
    <w:rsid w:val="68EA483B"/>
    <w:rsid w:val="69300ADC"/>
    <w:rsid w:val="69C533C0"/>
    <w:rsid w:val="6ABB72BD"/>
    <w:rsid w:val="6B297B01"/>
    <w:rsid w:val="6C015C52"/>
    <w:rsid w:val="6C132929"/>
    <w:rsid w:val="6C1F7259"/>
    <w:rsid w:val="6C5E0E49"/>
    <w:rsid w:val="6C5F3F7F"/>
    <w:rsid w:val="6D181417"/>
    <w:rsid w:val="6D8B63A4"/>
    <w:rsid w:val="6D967950"/>
    <w:rsid w:val="6DF20A0C"/>
    <w:rsid w:val="6EEE3F1B"/>
    <w:rsid w:val="6F140B0F"/>
    <w:rsid w:val="6FE81BA0"/>
    <w:rsid w:val="70173E49"/>
    <w:rsid w:val="70CB37A1"/>
    <w:rsid w:val="70CB60D4"/>
    <w:rsid w:val="70CC0F13"/>
    <w:rsid w:val="70ED043D"/>
    <w:rsid w:val="70F127CA"/>
    <w:rsid w:val="71136029"/>
    <w:rsid w:val="716219FD"/>
    <w:rsid w:val="71A66E6F"/>
    <w:rsid w:val="71D849D2"/>
    <w:rsid w:val="720B0A7C"/>
    <w:rsid w:val="72D00FF4"/>
    <w:rsid w:val="733A728F"/>
    <w:rsid w:val="736173B5"/>
    <w:rsid w:val="73A906BB"/>
    <w:rsid w:val="73EF74E6"/>
    <w:rsid w:val="74826361"/>
    <w:rsid w:val="74862F09"/>
    <w:rsid w:val="74D73178"/>
    <w:rsid w:val="75115858"/>
    <w:rsid w:val="76193F1D"/>
    <w:rsid w:val="761C468D"/>
    <w:rsid w:val="76B36B09"/>
    <w:rsid w:val="777E3689"/>
    <w:rsid w:val="780040E5"/>
    <w:rsid w:val="781456CA"/>
    <w:rsid w:val="796467CA"/>
    <w:rsid w:val="798C272D"/>
    <w:rsid w:val="79B32A0C"/>
    <w:rsid w:val="79ED3C95"/>
    <w:rsid w:val="79FB7746"/>
    <w:rsid w:val="7A203042"/>
    <w:rsid w:val="7A221B50"/>
    <w:rsid w:val="7A866268"/>
    <w:rsid w:val="7B0C323B"/>
    <w:rsid w:val="7B524B5B"/>
    <w:rsid w:val="7B8D07FD"/>
    <w:rsid w:val="7BAA147A"/>
    <w:rsid w:val="7BD2591C"/>
    <w:rsid w:val="7C4E30C0"/>
    <w:rsid w:val="7C871918"/>
    <w:rsid w:val="7D0B4E5A"/>
    <w:rsid w:val="7DC4395D"/>
    <w:rsid w:val="7DE41EB1"/>
    <w:rsid w:val="7E4F7ED1"/>
    <w:rsid w:val="7F107457"/>
    <w:rsid w:val="7F5D0F37"/>
    <w:rsid w:val="7F6B151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4"/>
    <w:unhideWhenUsed/>
    <w:qFormat/>
    <w:uiPriority w:val="99"/>
    <w:rPr>
      <w:b/>
      <w:bCs/>
    </w:rPr>
  </w:style>
  <w:style w:type="paragraph" w:styleId="3">
    <w:name w:val="annotation text"/>
    <w:basedOn w:val="1"/>
    <w:link w:val="13"/>
    <w:unhideWhenUsed/>
    <w:qFormat/>
    <w:uiPriority w:val="99"/>
    <w:pPr>
      <w:jc w:val="left"/>
    </w:pPr>
  </w:style>
  <w:style w:type="paragraph" w:styleId="4">
    <w:name w:val="Balloon Text"/>
    <w:basedOn w:val="1"/>
    <w:link w:val="12"/>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unhideWhenUsed/>
    <w:qFormat/>
    <w:uiPriority w:val="99"/>
    <w:rPr>
      <w:sz w:val="21"/>
      <w:szCs w:val="21"/>
    </w:rPr>
  </w:style>
  <w:style w:type="character" w:customStyle="1" w:styleId="10">
    <w:name w:val="页眉 Char"/>
    <w:basedOn w:val="7"/>
    <w:link w:val="6"/>
    <w:semiHidden/>
    <w:qFormat/>
    <w:uiPriority w:val="99"/>
    <w:rPr>
      <w:rFonts w:ascii="Times New Roman" w:hAnsi="Times New Roman" w:eastAsia="宋体" w:cs="Times New Roman"/>
      <w:sz w:val="18"/>
      <w:szCs w:val="18"/>
    </w:rPr>
  </w:style>
  <w:style w:type="character" w:customStyle="1" w:styleId="11">
    <w:name w:val="页脚 Char"/>
    <w:basedOn w:val="7"/>
    <w:link w:val="5"/>
    <w:semiHidden/>
    <w:qFormat/>
    <w:uiPriority w:val="99"/>
    <w:rPr>
      <w:rFonts w:ascii="Times New Roman" w:hAnsi="Times New Roman" w:eastAsia="宋体" w:cs="Times New Roman"/>
      <w:sz w:val="18"/>
      <w:szCs w:val="18"/>
    </w:rPr>
  </w:style>
  <w:style w:type="character" w:customStyle="1" w:styleId="12">
    <w:name w:val="批注框文本 Char"/>
    <w:basedOn w:val="7"/>
    <w:link w:val="4"/>
    <w:semiHidden/>
    <w:qFormat/>
    <w:uiPriority w:val="99"/>
    <w:rPr>
      <w:rFonts w:ascii="Times New Roman" w:hAnsi="Times New Roman" w:eastAsia="宋体" w:cs="Times New Roman"/>
      <w:kern w:val="2"/>
      <w:sz w:val="18"/>
      <w:szCs w:val="18"/>
    </w:rPr>
  </w:style>
  <w:style w:type="character" w:customStyle="1" w:styleId="13">
    <w:name w:val="批注文字 Char"/>
    <w:basedOn w:val="7"/>
    <w:link w:val="3"/>
    <w:semiHidden/>
    <w:qFormat/>
    <w:uiPriority w:val="99"/>
    <w:rPr>
      <w:rFonts w:ascii="Times New Roman" w:hAnsi="Times New Roman" w:eastAsia="宋体" w:cs="Times New Roman"/>
      <w:kern w:val="2"/>
      <w:sz w:val="21"/>
      <w:szCs w:val="24"/>
    </w:rPr>
  </w:style>
  <w:style w:type="character" w:customStyle="1" w:styleId="14">
    <w:name w:val="批注主题 Char"/>
    <w:basedOn w:val="13"/>
    <w:link w:val="2"/>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8</Pages>
  <Words>553</Words>
  <Characters>3153</Characters>
  <Lines>26</Lines>
  <Paragraphs>7</Paragraphs>
  <ScaleCrop>false</ScaleCrop>
  <LinksUpToDate>false</LinksUpToDate>
  <CharactersWithSpaces>3699</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2016-10-25T05:24:00Z</dcterms:created>
  <dc:creator>wangchonghu</dc:creator>
  <cp:lastModifiedBy>gjy</cp:lastModifiedBy>
  <dcterms:modified xsi:type="dcterms:W3CDTF">2016-10-28T02:06:37Z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