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宋体"/>
          <w:b/>
          <w:sz w:val="30"/>
          <w:szCs w:val="30"/>
        </w:rPr>
      </w:pPr>
      <w:r>
        <w:rPr>
          <w:rFonts w:hint="eastAsia" w:ascii="宋体"/>
          <w:b/>
          <w:sz w:val="30"/>
          <w:szCs w:val="30"/>
        </w:rPr>
        <w:t xml:space="preserve"> </w:t>
      </w:r>
    </w:p>
    <w:p>
      <w:pPr>
        <w:spacing w:line="480" w:lineRule="auto"/>
        <w:jc w:val="center"/>
        <w:rPr>
          <w:rFonts w:ascii="宋体" w:hAnsi="宋体"/>
          <w:b/>
          <w:sz w:val="36"/>
          <w:szCs w:val="36"/>
        </w:rPr>
      </w:pPr>
      <w:r>
        <w:rPr>
          <w:rFonts w:hint="eastAsia" w:ascii="宋体" w:hAnsi="宋体"/>
          <w:b/>
          <w:sz w:val="36"/>
          <w:szCs w:val="36"/>
        </w:rPr>
        <w:t>资产评估准则</w:t>
      </w:r>
      <w:r>
        <w:rPr>
          <w:rFonts w:ascii="宋体" w:hAnsi="宋体"/>
          <w:b/>
          <w:sz w:val="36"/>
          <w:szCs w:val="36"/>
        </w:rPr>
        <w:t>——</w:t>
      </w:r>
      <w:r>
        <w:rPr>
          <w:rFonts w:hint="eastAsia" w:ascii="宋体" w:hAnsi="宋体"/>
          <w:b/>
          <w:sz w:val="36"/>
          <w:szCs w:val="36"/>
        </w:rPr>
        <w:t>企业价值</w:t>
      </w:r>
    </w:p>
    <w:p>
      <w:pPr>
        <w:spacing w:line="480" w:lineRule="auto"/>
        <w:jc w:val="center"/>
        <w:rPr>
          <w:rFonts w:ascii="宋体"/>
          <w:b/>
          <w:sz w:val="36"/>
          <w:szCs w:val="36"/>
        </w:rPr>
      </w:pPr>
      <w:r>
        <w:rPr>
          <w:rFonts w:hint="eastAsia" w:ascii="宋体" w:hAnsi="宋体"/>
          <w:b/>
          <w:sz w:val="32"/>
          <w:szCs w:val="32"/>
        </w:rPr>
        <w:t>（修订征求意见稿）</w:t>
      </w:r>
    </w:p>
    <w:p>
      <w:pPr>
        <w:spacing w:line="480" w:lineRule="auto"/>
        <w:jc w:val="center"/>
        <w:rPr>
          <w:rFonts w:ascii="宋体"/>
          <w:sz w:val="30"/>
          <w:szCs w:val="30"/>
        </w:rPr>
      </w:pPr>
    </w:p>
    <w:p>
      <w:pPr>
        <w:numPr>
          <w:ilvl w:val="0"/>
          <w:numId w:val="1"/>
        </w:numPr>
        <w:spacing w:line="480" w:lineRule="auto"/>
        <w:jc w:val="center"/>
        <w:rPr>
          <w:rFonts w:ascii="宋体"/>
          <w:sz w:val="30"/>
          <w:szCs w:val="30"/>
        </w:rPr>
      </w:pPr>
      <w:r>
        <w:rPr>
          <w:rFonts w:hint="eastAsia" w:ascii="宋体" w:hAnsi="宋体"/>
          <w:sz w:val="30"/>
          <w:szCs w:val="30"/>
        </w:rPr>
        <w:t>总</w:t>
      </w:r>
      <w:r>
        <w:rPr>
          <w:rFonts w:ascii="宋体" w:hAnsi="宋体"/>
          <w:sz w:val="30"/>
          <w:szCs w:val="30"/>
        </w:rPr>
        <w:t xml:space="preserve"> </w:t>
      </w:r>
      <w:r>
        <w:rPr>
          <w:rFonts w:hint="eastAsia" w:ascii="宋体" w:hAnsi="宋体"/>
          <w:sz w:val="30"/>
          <w:szCs w:val="30"/>
        </w:rPr>
        <w:t>则</w:t>
      </w:r>
    </w:p>
    <w:p>
      <w:pPr>
        <w:spacing w:line="480" w:lineRule="auto"/>
        <w:jc w:val="center"/>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第一条</w:t>
      </w:r>
      <w:r>
        <w:rPr>
          <w:rFonts w:ascii="宋体" w:hAnsi="宋体"/>
          <w:sz w:val="30"/>
          <w:szCs w:val="30"/>
        </w:rPr>
        <w:tab/>
      </w:r>
      <w:r>
        <w:rPr>
          <w:rFonts w:hint="eastAsia" w:ascii="宋体" w:hAnsi="宋体"/>
          <w:sz w:val="30"/>
          <w:szCs w:val="30"/>
        </w:rPr>
        <w:t>为规范执行企业价值评估业务，保证执业质量，明确执业责任，保护资产评估当事人</w:t>
      </w:r>
      <w:bookmarkStart w:id="0" w:name="_GoBack"/>
      <w:bookmarkEnd w:id="0"/>
      <w:r>
        <w:rPr>
          <w:rFonts w:hint="eastAsia" w:ascii="宋体" w:hAnsi="宋体"/>
          <w:sz w:val="30"/>
          <w:szCs w:val="30"/>
        </w:rPr>
        <w:t>的合法权益和公共利益，依据《资产评估准则——基本准则》制定本准则。</w:t>
      </w:r>
    </w:p>
    <w:p>
      <w:pPr>
        <w:spacing w:line="480" w:lineRule="auto"/>
        <w:ind w:firstLine="600" w:firstLineChars="200"/>
        <w:rPr>
          <w:rFonts w:ascii="宋体"/>
          <w:sz w:val="30"/>
          <w:szCs w:val="30"/>
        </w:rPr>
      </w:pPr>
      <w:r>
        <w:rPr>
          <w:rFonts w:hint="eastAsia" w:ascii="宋体" w:hAnsi="宋体"/>
          <w:sz w:val="30"/>
          <w:szCs w:val="30"/>
        </w:rPr>
        <w:t>第二条</w:t>
      </w:r>
      <w:r>
        <w:rPr>
          <w:rFonts w:ascii="宋体"/>
          <w:sz w:val="30"/>
          <w:szCs w:val="30"/>
        </w:rPr>
        <w:tab/>
      </w:r>
      <w:r>
        <w:rPr>
          <w:rFonts w:hint="eastAsia" w:ascii="宋体" w:hAnsi="宋体"/>
          <w:sz w:val="30"/>
          <w:szCs w:val="30"/>
        </w:rPr>
        <w:t>本准则所称企业价值评估，是指资产评估机构及其资产评估专业人员遵守相关法律法规及资产评估准则的要求，根据委托对在评估基准日特定目的下的企业价值进行评定、估算，并出具评估报告的专业服务行为。</w:t>
      </w:r>
    </w:p>
    <w:p>
      <w:pPr>
        <w:spacing w:line="480" w:lineRule="auto"/>
        <w:ind w:firstLine="600" w:firstLineChars="200"/>
        <w:rPr>
          <w:rFonts w:ascii="宋体"/>
          <w:sz w:val="30"/>
          <w:szCs w:val="30"/>
        </w:rPr>
      </w:pPr>
      <w:r>
        <w:rPr>
          <w:rFonts w:hint="eastAsia" w:ascii="宋体" w:hAnsi="宋体"/>
          <w:sz w:val="30"/>
          <w:szCs w:val="30"/>
        </w:rPr>
        <w:t>第三条</w:t>
      </w:r>
      <w:r>
        <w:rPr>
          <w:rFonts w:ascii="宋体"/>
          <w:sz w:val="30"/>
          <w:szCs w:val="30"/>
        </w:rPr>
        <w:tab/>
      </w:r>
      <w:r>
        <w:rPr>
          <w:rFonts w:hint="eastAsia" w:ascii="宋体" w:hAnsi="宋体"/>
          <w:sz w:val="30"/>
          <w:szCs w:val="30"/>
        </w:rPr>
        <w:t>执行企业价值评估业务，应当遵守本准则。</w:t>
      </w:r>
    </w:p>
    <w:p>
      <w:pPr>
        <w:spacing w:line="480" w:lineRule="auto"/>
        <w:rPr>
          <w:rFonts w:ascii="宋体"/>
          <w:sz w:val="30"/>
          <w:szCs w:val="30"/>
        </w:rPr>
      </w:pPr>
    </w:p>
    <w:p>
      <w:pPr>
        <w:numPr>
          <w:ilvl w:val="0"/>
          <w:numId w:val="1"/>
        </w:numPr>
        <w:spacing w:line="480" w:lineRule="auto"/>
        <w:jc w:val="center"/>
        <w:rPr>
          <w:rFonts w:ascii="宋体"/>
          <w:sz w:val="30"/>
          <w:szCs w:val="30"/>
        </w:rPr>
      </w:pPr>
      <w:r>
        <w:rPr>
          <w:rFonts w:hint="eastAsia" w:ascii="宋体" w:hAnsi="宋体"/>
          <w:sz w:val="30"/>
          <w:szCs w:val="30"/>
        </w:rPr>
        <w:t>基本要求</w:t>
      </w:r>
    </w:p>
    <w:p>
      <w:pPr>
        <w:spacing w:line="480" w:lineRule="auto"/>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第四条 执行企业价值评估业务，应当遵守相关法律、法规以及资产评估基本准则，并考虑其他具体准则中的相关规定。</w:t>
      </w:r>
    </w:p>
    <w:p>
      <w:pPr>
        <w:spacing w:line="480" w:lineRule="auto"/>
        <w:ind w:firstLine="600" w:firstLineChars="200"/>
        <w:rPr>
          <w:rFonts w:ascii="宋体"/>
          <w:sz w:val="30"/>
          <w:szCs w:val="30"/>
        </w:rPr>
      </w:pPr>
      <w:r>
        <w:rPr>
          <w:rFonts w:hint="eastAsia" w:ascii="宋体" w:hAnsi="宋体"/>
          <w:sz w:val="30"/>
          <w:szCs w:val="30"/>
        </w:rPr>
        <w:t>第五条 执行企业价值评估业务，应当具备企业价值评估的专业知识及实践经验，能够胜任所执行的评估业务。</w:t>
      </w:r>
    </w:p>
    <w:p>
      <w:pPr>
        <w:spacing w:line="480" w:lineRule="auto"/>
        <w:ind w:firstLine="600" w:firstLineChars="200"/>
        <w:rPr>
          <w:rFonts w:ascii="宋体"/>
          <w:sz w:val="30"/>
          <w:szCs w:val="30"/>
        </w:rPr>
      </w:pPr>
      <w:r>
        <w:rPr>
          <w:rFonts w:hint="eastAsia" w:ascii="宋体" w:hAnsi="宋体"/>
          <w:sz w:val="30"/>
          <w:szCs w:val="30"/>
        </w:rPr>
        <w:t>第六条 执行企业价值评估业务，应当恪守独立、客观、公正的原则，保持应有的职业谨慎，不受委托人或相关当事人的非法干预，独立进行分析、估算并形成专业意见，不得出现对评估结果具有重要影响的实质性疏漏或重大错误。</w:t>
      </w:r>
    </w:p>
    <w:p>
      <w:pPr>
        <w:spacing w:line="480" w:lineRule="auto"/>
        <w:ind w:firstLine="600" w:firstLineChars="200"/>
        <w:rPr>
          <w:rFonts w:ascii="宋体"/>
          <w:sz w:val="30"/>
          <w:szCs w:val="30"/>
        </w:rPr>
      </w:pPr>
      <w:r>
        <w:rPr>
          <w:rFonts w:hint="eastAsia" w:ascii="宋体" w:hAnsi="宋体"/>
          <w:sz w:val="30"/>
          <w:szCs w:val="30"/>
        </w:rPr>
        <w:t>第七条 执行企业价值评估业务，应当根据评估目的，明确评估对象，选择适当的价值类型，合理使用评估假设，恰当运用评估方法，合理形成评估结果。</w:t>
      </w:r>
    </w:p>
    <w:p>
      <w:pPr>
        <w:spacing w:line="480" w:lineRule="auto"/>
        <w:ind w:firstLine="600" w:firstLineChars="200"/>
        <w:rPr>
          <w:rFonts w:ascii="宋体"/>
          <w:sz w:val="30"/>
          <w:szCs w:val="30"/>
        </w:rPr>
      </w:pPr>
      <w:r>
        <w:rPr>
          <w:rFonts w:hint="eastAsia" w:ascii="宋体" w:hAnsi="宋体"/>
          <w:sz w:val="30"/>
          <w:szCs w:val="30"/>
        </w:rPr>
        <w:t>第八条 资产评估师和其他资产评估专业人员应当依法对执行企业价值评估活动中使用的有关文件、证明和资料进行核查和验证，按照核查验证资料的类别、来源、获取方式、对评估结果的影响程度等因素，选择适当的形式或实质核查验证方式，恰当利用信息。</w:t>
      </w:r>
    </w:p>
    <w:p>
      <w:pPr>
        <w:spacing w:line="480" w:lineRule="auto"/>
        <w:ind w:firstLine="600" w:firstLineChars="200"/>
        <w:rPr>
          <w:rFonts w:ascii="宋体"/>
          <w:sz w:val="30"/>
          <w:szCs w:val="30"/>
        </w:rPr>
      </w:pPr>
      <w:r>
        <w:rPr>
          <w:rFonts w:hint="eastAsia" w:ascii="宋体" w:hAnsi="宋体"/>
          <w:sz w:val="30"/>
          <w:szCs w:val="30"/>
        </w:rPr>
        <w:t>第九条 执行企业价值评估业务，聘请相关专家协助工作以及引用专业报告，应当遵守《资产评估准则-利用专家工作》的相关规定。</w:t>
      </w:r>
    </w:p>
    <w:p>
      <w:pPr>
        <w:spacing w:line="480" w:lineRule="auto"/>
        <w:ind w:firstLine="504" w:firstLineChars="180"/>
        <w:rPr>
          <w:rFonts w:ascii="宋体"/>
          <w:color w:val="FF0000"/>
          <w:sz w:val="28"/>
          <w:szCs w:val="28"/>
        </w:rPr>
      </w:pPr>
    </w:p>
    <w:p>
      <w:pPr>
        <w:numPr>
          <w:ilvl w:val="0"/>
          <w:numId w:val="1"/>
        </w:numPr>
        <w:spacing w:line="480" w:lineRule="auto"/>
        <w:jc w:val="center"/>
        <w:rPr>
          <w:rFonts w:ascii="宋体"/>
          <w:sz w:val="30"/>
          <w:szCs w:val="30"/>
        </w:rPr>
      </w:pPr>
      <w:r>
        <w:rPr>
          <w:rFonts w:hint="eastAsia" w:ascii="宋体" w:hAnsi="宋体"/>
          <w:sz w:val="30"/>
          <w:szCs w:val="30"/>
        </w:rPr>
        <w:t>操作要求</w:t>
      </w:r>
    </w:p>
    <w:p>
      <w:pPr>
        <w:spacing w:line="480" w:lineRule="auto"/>
        <w:rPr>
          <w:rFonts w:asci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第十条 执行企业价值评估业务，应当明确下列基本事项：</w:t>
      </w:r>
    </w:p>
    <w:p>
      <w:pPr>
        <w:spacing w:line="480" w:lineRule="auto"/>
        <w:ind w:firstLine="600" w:firstLineChars="200"/>
        <w:rPr>
          <w:rFonts w:ascii="宋体" w:hAnsi="宋体"/>
          <w:sz w:val="30"/>
          <w:szCs w:val="30"/>
        </w:rPr>
      </w:pPr>
      <w:r>
        <w:rPr>
          <w:rFonts w:hint="eastAsia" w:ascii="宋体" w:hAnsi="宋体"/>
          <w:sz w:val="30"/>
          <w:szCs w:val="30"/>
        </w:rPr>
        <w:t>（一）委托人的基本情况；</w:t>
      </w:r>
    </w:p>
    <w:p>
      <w:pPr>
        <w:spacing w:line="480" w:lineRule="auto"/>
        <w:ind w:firstLine="600" w:firstLineChars="200"/>
        <w:rPr>
          <w:rFonts w:ascii="宋体" w:hAnsi="宋体"/>
          <w:sz w:val="30"/>
          <w:szCs w:val="30"/>
        </w:rPr>
      </w:pPr>
      <w:r>
        <w:rPr>
          <w:rFonts w:hint="eastAsia" w:ascii="宋体" w:hAnsi="宋体"/>
          <w:sz w:val="30"/>
          <w:szCs w:val="30"/>
        </w:rPr>
        <w:t>（二）评估报告的使用范围；</w:t>
      </w:r>
    </w:p>
    <w:p>
      <w:pPr>
        <w:spacing w:line="480" w:lineRule="auto"/>
        <w:ind w:firstLine="600" w:firstLineChars="200"/>
        <w:rPr>
          <w:rFonts w:ascii="宋体" w:hAnsi="宋体"/>
          <w:sz w:val="30"/>
          <w:szCs w:val="30"/>
        </w:rPr>
      </w:pPr>
      <w:r>
        <w:rPr>
          <w:rFonts w:hint="eastAsia" w:ascii="宋体" w:hAnsi="宋体"/>
          <w:sz w:val="30"/>
          <w:szCs w:val="30"/>
        </w:rPr>
        <w:t>（三）被评估单位的基本情况；</w:t>
      </w:r>
    </w:p>
    <w:p>
      <w:pPr>
        <w:spacing w:line="480" w:lineRule="auto"/>
        <w:ind w:firstLine="600" w:firstLineChars="200"/>
        <w:rPr>
          <w:rFonts w:ascii="宋体" w:hAnsi="宋体"/>
          <w:sz w:val="30"/>
          <w:szCs w:val="30"/>
        </w:rPr>
      </w:pPr>
      <w:r>
        <w:rPr>
          <w:rFonts w:hint="eastAsia" w:ascii="宋体" w:hAnsi="宋体"/>
          <w:sz w:val="30"/>
          <w:szCs w:val="30"/>
        </w:rPr>
        <w:t>（四）评估目的；</w:t>
      </w:r>
    </w:p>
    <w:p>
      <w:pPr>
        <w:spacing w:line="480" w:lineRule="auto"/>
        <w:ind w:firstLine="600" w:firstLineChars="200"/>
        <w:rPr>
          <w:rFonts w:ascii="宋体" w:hAnsi="宋体"/>
          <w:sz w:val="30"/>
          <w:szCs w:val="30"/>
        </w:rPr>
      </w:pPr>
      <w:r>
        <w:rPr>
          <w:rFonts w:hint="eastAsia" w:ascii="宋体" w:hAnsi="宋体"/>
          <w:sz w:val="30"/>
          <w:szCs w:val="30"/>
        </w:rPr>
        <w:t>（五）评估对象和评估范围；</w:t>
      </w:r>
    </w:p>
    <w:p>
      <w:pPr>
        <w:spacing w:line="480" w:lineRule="auto"/>
        <w:ind w:firstLine="600" w:firstLineChars="200"/>
        <w:rPr>
          <w:rFonts w:ascii="宋体" w:hAnsi="宋体"/>
          <w:sz w:val="30"/>
          <w:szCs w:val="30"/>
        </w:rPr>
      </w:pPr>
      <w:r>
        <w:rPr>
          <w:rFonts w:hint="eastAsia" w:ascii="宋体" w:hAnsi="宋体"/>
          <w:sz w:val="30"/>
          <w:szCs w:val="30"/>
        </w:rPr>
        <w:t>（六）价值类型；</w:t>
      </w:r>
    </w:p>
    <w:p>
      <w:pPr>
        <w:spacing w:line="480" w:lineRule="auto"/>
        <w:ind w:firstLine="600" w:firstLineChars="200"/>
        <w:rPr>
          <w:rFonts w:ascii="宋体" w:hAnsi="宋体"/>
          <w:sz w:val="30"/>
          <w:szCs w:val="30"/>
        </w:rPr>
      </w:pPr>
      <w:r>
        <w:rPr>
          <w:rFonts w:hint="eastAsia" w:ascii="宋体" w:hAnsi="宋体"/>
          <w:sz w:val="30"/>
          <w:szCs w:val="30"/>
        </w:rPr>
        <w:t>（七）评估基准日；</w:t>
      </w:r>
    </w:p>
    <w:p>
      <w:pPr>
        <w:spacing w:line="480" w:lineRule="auto"/>
        <w:ind w:firstLine="600" w:firstLineChars="200"/>
        <w:rPr>
          <w:rFonts w:ascii="宋体" w:hAnsi="宋体"/>
          <w:sz w:val="30"/>
          <w:szCs w:val="30"/>
        </w:rPr>
      </w:pPr>
      <w:r>
        <w:rPr>
          <w:rFonts w:hint="eastAsia" w:ascii="宋体" w:hAnsi="宋体"/>
          <w:sz w:val="30"/>
          <w:szCs w:val="30"/>
        </w:rPr>
        <w:t>（八）评估假设；</w:t>
      </w:r>
    </w:p>
    <w:p>
      <w:pPr>
        <w:spacing w:line="480" w:lineRule="auto"/>
        <w:ind w:firstLine="600" w:firstLineChars="200"/>
        <w:rPr>
          <w:rFonts w:ascii="宋体"/>
          <w:sz w:val="30"/>
          <w:szCs w:val="30"/>
        </w:rPr>
      </w:pPr>
      <w:r>
        <w:rPr>
          <w:rFonts w:hint="eastAsia" w:ascii="宋体" w:hAnsi="宋体"/>
          <w:sz w:val="30"/>
          <w:szCs w:val="30"/>
        </w:rPr>
        <w:t>（九）需要明确的其他事项。</w:t>
      </w:r>
    </w:p>
    <w:p>
      <w:pPr>
        <w:spacing w:line="480" w:lineRule="auto"/>
        <w:ind w:firstLine="600" w:firstLineChars="200"/>
        <w:rPr>
          <w:rFonts w:ascii="宋体"/>
          <w:sz w:val="30"/>
          <w:szCs w:val="30"/>
        </w:rPr>
      </w:pPr>
      <w:r>
        <w:rPr>
          <w:rFonts w:hint="eastAsia" w:ascii="宋体" w:hAnsi="宋体"/>
          <w:sz w:val="30"/>
          <w:szCs w:val="30"/>
        </w:rPr>
        <w:t>第十一条 资产评估师和其他资产评估专业人员应当根据委托事项和评估目的，明确评估对象。企业价值评估中的评估对象包括整体企业权益、股东全部权益和股东部分权益等。</w:t>
      </w:r>
    </w:p>
    <w:p>
      <w:pPr>
        <w:spacing w:line="480" w:lineRule="auto"/>
        <w:ind w:firstLine="600" w:firstLineChars="200"/>
        <w:rPr>
          <w:rFonts w:ascii="宋体"/>
          <w:sz w:val="30"/>
          <w:szCs w:val="30"/>
        </w:rPr>
      </w:pPr>
      <w:r>
        <w:rPr>
          <w:rFonts w:hint="eastAsia" w:ascii="宋体" w:hAnsi="宋体"/>
          <w:sz w:val="30"/>
          <w:szCs w:val="30"/>
        </w:rPr>
        <w:t>第十二条 执行企业价值评估业务，应当充分考虑评估目的、市场条件、评估对象自身条件等因素，合理使用评估假设，恰当选择价值类型。企业价值评估当中常见的价值类型为市场价值和投资价值。</w:t>
      </w:r>
    </w:p>
    <w:p>
      <w:pPr>
        <w:spacing w:line="480" w:lineRule="auto"/>
        <w:ind w:firstLine="600" w:firstLineChars="200"/>
        <w:rPr>
          <w:rFonts w:ascii="宋体" w:hAnsi="宋体"/>
          <w:sz w:val="30"/>
          <w:szCs w:val="30"/>
        </w:rPr>
      </w:pPr>
      <w:r>
        <w:rPr>
          <w:rFonts w:hint="eastAsia" w:ascii="宋体" w:hAnsi="宋体"/>
          <w:sz w:val="30"/>
          <w:szCs w:val="30"/>
        </w:rPr>
        <w:t>第十三条  执行企业价值评估业务，应当根据评估业务的具体情况，确定所需资料的清单并收集相关资料。资料通常包括：</w:t>
      </w:r>
    </w:p>
    <w:p>
      <w:pPr>
        <w:spacing w:line="480" w:lineRule="auto"/>
        <w:ind w:firstLine="600" w:firstLineChars="200"/>
        <w:rPr>
          <w:rFonts w:ascii="宋体" w:hAnsi="宋体"/>
          <w:sz w:val="30"/>
          <w:szCs w:val="30"/>
        </w:rPr>
      </w:pPr>
      <w:r>
        <w:rPr>
          <w:rFonts w:hint="eastAsia" w:ascii="宋体" w:hAnsi="宋体"/>
          <w:sz w:val="30"/>
          <w:szCs w:val="30"/>
        </w:rPr>
        <w:t>（一）评估对象权益状况相关的协议、章程、股权证明等有关法律文件、评估对象涉及的主要资产权属证明资料；</w:t>
      </w:r>
    </w:p>
    <w:p>
      <w:pPr>
        <w:spacing w:line="480" w:lineRule="auto"/>
        <w:ind w:firstLine="600" w:firstLineChars="200"/>
        <w:rPr>
          <w:rFonts w:ascii="宋体" w:hAnsi="宋体"/>
          <w:sz w:val="30"/>
          <w:szCs w:val="30"/>
        </w:rPr>
      </w:pPr>
      <w:r>
        <w:rPr>
          <w:rFonts w:hint="eastAsia" w:ascii="宋体" w:hAnsi="宋体"/>
          <w:sz w:val="30"/>
          <w:szCs w:val="30"/>
        </w:rPr>
        <w:t>（二）被评估单位历史沿革、实际控制股东及股东持股比例、经营管理结构和产权架构资料；</w:t>
      </w:r>
    </w:p>
    <w:p>
      <w:pPr>
        <w:spacing w:line="480" w:lineRule="auto"/>
        <w:ind w:firstLine="600" w:firstLineChars="200"/>
        <w:rPr>
          <w:rFonts w:ascii="宋体" w:hAnsi="宋体"/>
          <w:sz w:val="30"/>
          <w:szCs w:val="30"/>
        </w:rPr>
      </w:pPr>
      <w:r>
        <w:rPr>
          <w:rFonts w:hint="eastAsia" w:ascii="宋体" w:hAnsi="宋体"/>
          <w:sz w:val="30"/>
          <w:szCs w:val="30"/>
        </w:rPr>
        <w:t>（三）被评估单位的业务、资产、财务、人员及经营状况资料；</w:t>
      </w:r>
    </w:p>
    <w:p>
      <w:pPr>
        <w:spacing w:line="480" w:lineRule="auto"/>
        <w:ind w:firstLine="600" w:firstLineChars="200"/>
        <w:rPr>
          <w:rFonts w:ascii="宋体" w:hAnsi="宋体"/>
          <w:sz w:val="30"/>
          <w:szCs w:val="30"/>
        </w:rPr>
      </w:pPr>
      <w:r>
        <w:rPr>
          <w:rFonts w:hint="eastAsia" w:ascii="宋体" w:hAnsi="宋体"/>
          <w:sz w:val="30"/>
          <w:szCs w:val="30"/>
        </w:rPr>
        <w:t>（四）被评估单位经营计划、发展规划和收益预测资料；</w:t>
      </w:r>
    </w:p>
    <w:p>
      <w:pPr>
        <w:spacing w:line="480" w:lineRule="auto"/>
        <w:ind w:firstLine="600" w:firstLineChars="200"/>
        <w:rPr>
          <w:rFonts w:ascii="宋体" w:hAnsi="宋体"/>
          <w:sz w:val="30"/>
          <w:szCs w:val="30"/>
        </w:rPr>
      </w:pPr>
      <w:r>
        <w:rPr>
          <w:rFonts w:hint="eastAsia" w:ascii="宋体" w:hAnsi="宋体"/>
          <w:sz w:val="30"/>
          <w:szCs w:val="30"/>
        </w:rPr>
        <w:t>（五）评估对象、被评估单位以往的评估及交易资料；</w:t>
      </w:r>
    </w:p>
    <w:p>
      <w:pPr>
        <w:spacing w:line="480" w:lineRule="auto"/>
        <w:ind w:firstLine="600" w:firstLineChars="200"/>
        <w:rPr>
          <w:rFonts w:ascii="宋体" w:hAnsi="宋体"/>
          <w:sz w:val="30"/>
          <w:szCs w:val="30"/>
        </w:rPr>
      </w:pPr>
      <w:r>
        <w:rPr>
          <w:rFonts w:hint="eastAsia" w:ascii="宋体" w:hAnsi="宋体"/>
          <w:sz w:val="30"/>
          <w:szCs w:val="30"/>
        </w:rPr>
        <w:t>（六）影响被评估单位经营的宏观、区域经济因素的资料；</w:t>
      </w:r>
    </w:p>
    <w:p>
      <w:pPr>
        <w:spacing w:line="480" w:lineRule="auto"/>
        <w:ind w:firstLine="600" w:firstLineChars="200"/>
        <w:rPr>
          <w:rFonts w:ascii="宋体" w:hAnsi="宋体"/>
          <w:sz w:val="30"/>
          <w:szCs w:val="30"/>
        </w:rPr>
      </w:pPr>
      <w:r>
        <w:rPr>
          <w:rFonts w:hint="eastAsia" w:ascii="宋体" w:hAnsi="宋体"/>
          <w:sz w:val="30"/>
          <w:szCs w:val="30"/>
        </w:rPr>
        <w:t>（七）被评估单位所在行业现状与发展前景的资料；</w:t>
      </w:r>
    </w:p>
    <w:p>
      <w:pPr>
        <w:spacing w:line="480" w:lineRule="auto"/>
        <w:ind w:firstLine="600" w:firstLineChars="200"/>
        <w:rPr>
          <w:rFonts w:ascii="宋体" w:hAnsi="宋体"/>
          <w:sz w:val="30"/>
          <w:szCs w:val="30"/>
        </w:rPr>
      </w:pPr>
      <w:r>
        <w:rPr>
          <w:rFonts w:hint="eastAsia" w:ascii="宋体" w:hAnsi="宋体"/>
          <w:sz w:val="30"/>
          <w:szCs w:val="30"/>
        </w:rPr>
        <w:t>（八）证券市场、产权交易市场等市场的有关资料；</w:t>
      </w:r>
    </w:p>
    <w:p>
      <w:pPr>
        <w:spacing w:line="480" w:lineRule="auto"/>
        <w:ind w:firstLine="600" w:firstLineChars="200"/>
        <w:rPr>
          <w:rFonts w:ascii="宋体" w:hAnsi="宋体"/>
          <w:sz w:val="30"/>
          <w:szCs w:val="30"/>
        </w:rPr>
      </w:pPr>
      <w:r>
        <w:rPr>
          <w:rFonts w:hint="eastAsia" w:ascii="宋体" w:hAnsi="宋体"/>
          <w:sz w:val="30"/>
          <w:szCs w:val="30"/>
        </w:rPr>
        <w:t>（九）可比企业的经营情况、财务信息、股票价格或者股权交易价格等资料。</w:t>
      </w:r>
    </w:p>
    <w:p>
      <w:pPr>
        <w:spacing w:line="480" w:lineRule="auto"/>
        <w:ind w:firstLine="600" w:firstLineChars="200"/>
        <w:rPr>
          <w:rFonts w:ascii="宋体" w:hAnsi="宋体"/>
          <w:sz w:val="30"/>
          <w:szCs w:val="30"/>
        </w:rPr>
      </w:pPr>
      <w:r>
        <w:rPr>
          <w:rFonts w:hint="eastAsia" w:ascii="宋体" w:hAnsi="宋体"/>
          <w:sz w:val="30"/>
          <w:szCs w:val="30"/>
        </w:rPr>
        <w:t>第十四条 资产评估师和其他资产评估专业人员应当尽可能获取被评估企业和可比企业的审计报告。</w:t>
      </w:r>
    </w:p>
    <w:p>
      <w:pPr>
        <w:spacing w:line="480" w:lineRule="auto"/>
        <w:ind w:firstLine="600" w:firstLineChars="200"/>
        <w:rPr>
          <w:rFonts w:ascii="宋体" w:hAnsi="宋体"/>
          <w:sz w:val="30"/>
          <w:szCs w:val="30"/>
        </w:rPr>
      </w:pPr>
      <w:r>
        <w:rPr>
          <w:rFonts w:hint="eastAsia" w:ascii="宋体" w:hAnsi="宋体"/>
          <w:sz w:val="30"/>
          <w:szCs w:val="30"/>
        </w:rPr>
        <w:t>第十五条  运用收益法和市场法进行企业价值评估时，可以根据评估对象、评估假设、价值类型等相关条件，在与委托人和相关当事人协商并获得有关信息的基础上，对被评估企业和可比企业财务报表进行必要的分析和调整，以使所采用的评估模型更加合理、可比。根据评估业务的具体情况，分析和调整事项通常包括：</w:t>
      </w:r>
    </w:p>
    <w:p>
      <w:pPr>
        <w:spacing w:line="480" w:lineRule="auto"/>
        <w:ind w:firstLine="600" w:firstLineChars="200"/>
        <w:rPr>
          <w:rFonts w:ascii="宋体" w:hAnsi="宋体"/>
          <w:sz w:val="30"/>
          <w:szCs w:val="30"/>
        </w:rPr>
      </w:pPr>
      <w:r>
        <w:rPr>
          <w:rFonts w:hint="eastAsia" w:ascii="宋体" w:hAnsi="宋体"/>
          <w:sz w:val="30"/>
          <w:szCs w:val="30"/>
        </w:rPr>
        <w:t>（一）财务报表编制基础；</w:t>
      </w:r>
    </w:p>
    <w:p>
      <w:pPr>
        <w:spacing w:line="480" w:lineRule="auto"/>
        <w:ind w:firstLine="600" w:firstLineChars="200"/>
        <w:rPr>
          <w:rFonts w:ascii="宋体" w:hAnsi="宋体"/>
          <w:sz w:val="30"/>
          <w:szCs w:val="30"/>
        </w:rPr>
      </w:pPr>
      <w:r>
        <w:rPr>
          <w:rFonts w:hint="eastAsia" w:ascii="宋体" w:hAnsi="宋体"/>
          <w:sz w:val="30"/>
          <w:szCs w:val="30"/>
        </w:rPr>
        <w:t>（二）非经常性收入和支出；</w:t>
      </w:r>
    </w:p>
    <w:p>
      <w:pPr>
        <w:spacing w:line="480" w:lineRule="auto"/>
        <w:ind w:firstLine="600" w:firstLineChars="200"/>
        <w:rPr>
          <w:rFonts w:ascii="宋体" w:hAnsi="宋体"/>
          <w:sz w:val="30"/>
          <w:szCs w:val="30"/>
        </w:rPr>
      </w:pPr>
      <w:r>
        <w:rPr>
          <w:rFonts w:hint="eastAsia" w:ascii="宋体" w:hAnsi="宋体"/>
          <w:sz w:val="30"/>
          <w:szCs w:val="30"/>
        </w:rPr>
        <w:t>（三）非经营性资产、负债和溢余资产及其相关的收入和支出。</w:t>
      </w:r>
    </w:p>
    <w:p>
      <w:pPr>
        <w:spacing w:line="480" w:lineRule="auto"/>
        <w:ind w:firstLine="600" w:firstLineChars="200"/>
        <w:rPr>
          <w:rFonts w:ascii="宋体"/>
          <w:sz w:val="30"/>
          <w:szCs w:val="30"/>
        </w:rPr>
      </w:pPr>
      <w:r>
        <w:rPr>
          <w:rFonts w:hint="eastAsia" w:ascii="宋体" w:hAnsi="宋体"/>
          <w:sz w:val="30"/>
          <w:szCs w:val="30"/>
        </w:rPr>
        <w:t>第十六条 运用收益法和市场法进行企业价值评估，应当与委托人和相关当事人进行沟通，了解企业资产配置和使用情况，谨慎识别非经营性资产、负债和溢余资产，并根据相关现金流模型和可比案例相关信息获得情况，确定是否单独评估。</w:t>
      </w:r>
    </w:p>
    <w:p>
      <w:pPr>
        <w:spacing w:line="480" w:lineRule="auto"/>
        <w:ind w:firstLine="600" w:firstLineChars="200"/>
        <w:rPr>
          <w:rFonts w:ascii="宋体" w:hAnsi="宋体"/>
          <w:sz w:val="30"/>
          <w:szCs w:val="30"/>
        </w:rPr>
      </w:pPr>
      <w:r>
        <w:rPr>
          <w:rFonts w:hint="eastAsia" w:ascii="宋体" w:hAnsi="宋体"/>
          <w:sz w:val="30"/>
          <w:szCs w:val="30"/>
        </w:rPr>
        <w:t>第十七条 资产评估师和其他资产评估专业人员应当知晓评估对象在持续经营前提下的价值并不必然大于在清算前提下的价值。</w:t>
      </w:r>
    </w:p>
    <w:p>
      <w:pPr>
        <w:spacing w:line="480" w:lineRule="auto"/>
        <w:ind w:firstLine="600" w:firstLineChars="200"/>
        <w:rPr>
          <w:rFonts w:ascii="宋体"/>
          <w:sz w:val="30"/>
          <w:szCs w:val="30"/>
        </w:rPr>
      </w:pPr>
      <w:r>
        <w:rPr>
          <w:rFonts w:hint="eastAsia" w:ascii="宋体" w:hAnsi="宋体"/>
          <w:sz w:val="30"/>
          <w:szCs w:val="30"/>
        </w:rPr>
        <w:t>如果相关权益人有权启动清算程序，资产评估师和其他资产评估专业人员应当根据委托评估事项，分析评估对象在清算前提下价值大于在持续经营前提下价值的可能性。</w:t>
      </w:r>
    </w:p>
    <w:p>
      <w:pPr>
        <w:spacing w:line="480" w:lineRule="auto"/>
        <w:ind w:firstLine="600" w:firstLineChars="200"/>
        <w:rPr>
          <w:rFonts w:ascii="宋体"/>
          <w:sz w:val="30"/>
          <w:szCs w:val="30"/>
        </w:rPr>
      </w:pPr>
      <w:r>
        <w:rPr>
          <w:rFonts w:hint="eastAsia" w:ascii="宋体" w:hAnsi="宋体"/>
          <w:sz w:val="30"/>
          <w:szCs w:val="30"/>
        </w:rPr>
        <w:t>第十八条 在对具有多种业务类型、涉及多种行业的企业进行企业价值评估时，应当根据业务关联性合理界定业务单元，并根据被评估单位和业务单元的具体情况，采用适宜的财务数据口径进行评估。</w:t>
      </w:r>
    </w:p>
    <w:p>
      <w:pPr>
        <w:spacing w:line="480" w:lineRule="auto"/>
        <w:ind w:firstLine="560" w:firstLineChars="200"/>
        <w:rPr>
          <w:rFonts w:ascii="宋体"/>
          <w:color w:val="FF0000"/>
          <w:sz w:val="28"/>
          <w:szCs w:val="28"/>
        </w:rPr>
      </w:pPr>
    </w:p>
    <w:p>
      <w:pPr>
        <w:numPr>
          <w:ilvl w:val="0"/>
          <w:numId w:val="1"/>
        </w:numPr>
        <w:spacing w:line="480" w:lineRule="auto"/>
        <w:jc w:val="center"/>
        <w:rPr>
          <w:rFonts w:ascii="宋体"/>
          <w:sz w:val="30"/>
          <w:szCs w:val="30"/>
        </w:rPr>
      </w:pPr>
      <w:r>
        <w:rPr>
          <w:rFonts w:hint="eastAsia" w:ascii="宋体" w:hAnsi="宋体"/>
          <w:sz w:val="30"/>
          <w:szCs w:val="30"/>
        </w:rPr>
        <w:t>评估方法</w:t>
      </w:r>
    </w:p>
    <w:p>
      <w:pPr>
        <w:spacing w:line="480" w:lineRule="auto"/>
        <w:rPr>
          <w:rFonts w:ascii="宋体"/>
          <w:sz w:val="30"/>
          <w:szCs w:val="30"/>
        </w:rPr>
      </w:pPr>
    </w:p>
    <w:p>
      <w:pPr>
        <w:spacing w:line="480" w:lineRule="auto"/>
        <w:ind w:firstLine="600" w:firstLineChars="200"/>
        <w:rPr>
          <w:rFonts w:ascii="宋体"/>
          <w:sz w:val="30"/>
          <w:szCs w:val="30"/>
        </w:rPr>
      </w:pPr>
      <w:r>
        <w:rPr>
          <w:rFonts w:hint="eastAsia" w:ascii="宋体" w:hAnsi="宋体"/>
          <w:sz w:val="30"/>
          <w:szCs w:val="30"/>
        </w:rPr>
        <w:t>第十九条 执行企业价值评估业务，应当根据评估目的、评估对象、价值类型、资料收集情况等相关条件，分析市场法、收益法和资产基础法等评估方法的适用性，恰当选择评估方法，合理形成评估结果。</w:t>
      </w:r>
    </w:p>
    <w:p>
      <w:pPr>
        <w:spacing w:line="480" w:lineRule="auto"/>
        <w:ind w:firstLine="600" w:firstLineChars="200"/>
        <w:rPr>
          <w:rFonts w:ascii="宋体" w:hAnsi="宋体"/>
          <w:sz w:val="30"/>
          <w:szCs w:val="30"/>
        </w:rPr>
      </w:pPr>
      <w:r>
        <w:rPr>
          <w:rFonts w:hint="eastAsia" w:ascii="宋体" w:hAnsi="宋体"/>
          <w:sz w:val="30"/>
          <w:szCs w:val="30"/>
        </w:rPr>
        <w:t>第二十条 对于适合采用不同评估方法进行企业价值评估的，资产评估师和其他资产评估专业人员应当采用两种以上评估方法进行评估，通过比较分析合理形成评估结果。</w:t>
      </w:r>
    </w:p>
    <w:p>
      <w:pPr>
        <w:spacing w:line="480" w:lineRule="auto"/>
        <w:ind w:firstLine="600" w:firstLineChars="200"/>
        <w:rPr>
          <w:rFonts w:ascii="宋体"/>
          <w:sz w:val="30"/>
          <w:szCs w:val="30"/>
        </w:rPr>
      </w:pPr>
      <w:r>
        <w:rPr>
          <w:rFonts w:hint="eastAsia" w:ascii="宋体" w:hAnsi="宋体"/>
          <w:sz w:val="30"/>
          <w:szCs w:val="30"/>
        </w:rPr>
        <w:t>因方法的适用性或操作限制导致无法采用两种以上评估方法进行评估的，资产评估师和其他资产评估专业人员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师和其他资产评估专业人员的操作能力及条件作为判断标准。</w:t>
      </w:r>
    </w:p>
    <w:p>
      <w:pPr>
        <w:spacing w:line="480" w:lineRule="auto"/>
        <w:ind w:firstLine="600" w:firstLineChars="200"/>
        <w:rPr>
          <w:rFonts w:ascii="宋体" w:hAnsi="宋体"/>
          <w:sz w:val="30"/>
          <w:szCs w:val="30"/>
        </w:rPr>
      </w:pPr>
      <w:r>
        <w:rPr>
          <w:rFonts w:hint="eastAsia" w:ascii="宋体" w:hAnsi="宋体"/>
          <w:sz w:val="30"/>
          <w:szCs w:val="30"/>
        </w:rPr>
        <w:t>第二十一条 企业价值评估中的收益法，是指将预期收益资本化或者折现，确定评估对象价值的评估方法。</w:t>
      </w:r>
    </w:p>
    <w:p>
      <w:pPr>
        <w:spacing w:line="480" w:lineRule="auto"/>
        <w:ind w:firstLine="600" w:firstLineChars="200"/>
        <w:rPr>
          <w:rFonts w:ascii="宋体"/>
          <w:sz w:val="30"/>
          <w:szCs w:val="30"/>
        </w:rPr>
      </w:pPr>
      <w:r>
        <w:rPr>
          <w:rFonts w:hint="eastAsia" w:ascii="宋体" w:hAnsi="宋体"/>
          <w:sz w:val="30"/>
          <w:szCs w:val="30"/>
        </w:rPr>
        <w:t>资产评估师和其他资产评估专业人员应当结合被评估单位的历史经营情况、未来收益可预测情况、所获取评估资料的充分性，恰当考虑收益法的适用性。</w:t>
      </w:r>
    </w:p>
    <w:p>
      <w:pPr>
        <w:spacing w:line="480" w:lineRule="auto"/>
        <w:ind w:firstLine="600" w:firstLineChars="200"/>
        <w:rPr>
          <w:rFonts w:ascii="宋体"/>
          <w:sz w:val="30"/>
          <w:szCs w:val="30"/>
        </w:rPr>
      </w:pPr>
      <w:r>
        <w:rPr>
          <w:rFonts w:hint="eastAsia" w:ascii="宋体" w:hAnsi="宋体"/>
          <w:sz w:val="30"/>
          <w:szCs w:val="30"/>
        </w:rPr>
        <w:t>第二十二条 收益法常用的具体方法包括股利折现法和现金流量折现法。</w:t>
      </w:r>
    </w:p>
    <w:p>
      <w:pPr>
        <w:spacing w:line="480" w:lineRule="auto"/>
        <w:ind w:firstLine="600" w:firstLineChars="200"/>
        <w:rPr>
          <w:rFonts w:ascii="宋体" w:hAnsi="宋体"/>
          <w:sz w:val="30"/>
          <w:szCs w:val="30"/>
        </w:rPr>
      </w:pPr>
      <w:r>
        <w:rPr>
          <w:rFonts w:hint="eastAsia" w:ascii="宋体" w:hAnsi="宋体"/>
          <w:sz w:val="30"/>
          <w:szCs w:val="30"/>
        </w:rPr>
        <w:t>第二十三条 股利折现法是将预期股利进行折现以确定评估对象价值的具体方法，通常适用于缺乏控制权的股东部分权益价值评估。</w:t>
      </w:r>
    </w:p>
    <w:p>
      <w:pPr>
        <w:spacing w:line="480" w:lineRule="auto"/>
        <w:ind w:firstLine="600" w:firstLineChars="200"/>
        <w:rPr>
          <w:rFonts w:ascii="宋体" w:hAnsi="宋体"/>
          <w:sz w:val="30"/>
          <w:szCs w:val="30"/>
        </w:rPr>
      </w:pPr>
      <w:r>
        <w:rPr>
          <w:rFonts w:hint="eastAsia" w:ascii="宋体" w:hAnsi="宋体"/>
          <w:sz w:val="30"/>
          <w:szCs w:val="30"/>
        </w:rPr>
        <w:t>股利折现法的预期股利一般应</w:t>
      </w:r>
      <w:r>
        <w:rPr>
          <w:rFonts w:ascii="宋体" w:hAnsi="宋体"/>
          <w:sz w:val="30"/>
          <w:szCs w:val="30"/>
        </w:rPr>
        <w:t>体现市场参与者的</w:t>
      </w:r>
      <w:r>
        <w:rPr>
          <w:rFonts w:hint="eastAsia" w:ascii="宋体" w:hAnsi="宋体"/>
          <w:sz w:val="30"/>
          <w:szCs w:val="30"/>
        </w:rPr>
        <w:t>通常</w:t>
      </w:r>
      <w:r>
        <w:rPr>
          <w:rFonts w:ascii="宋体" w:hAnsi="宋体"/>
          <w:sz w:val="30"/>
          <w:szCs w:val="30"/>
        </w:rPr>
        <w:t>预期</w:t>
      </w:r>
      <w:r>
        <w:rPr>
          <w:rFonts w:hint="eastAsia" w:ascii="宋体" w:hAnsi="宋体"/>
          <w:sz w:val="30"/>
          <w:szCs w:val="30"/>
        </w:rPr>
        <w:t>，适用的价值类型通常为</w:t>
      </w:r>
      <w:r>
        <w:rPr>
          <w:rFonts w:ascii="宋体" w:hAnsi="宋体"/>
          <w:sz w:val="30"/>
          <w:szCs w:val="30"/>
        </w:rPr>
        <w:t>市场价值</w:t>
      </w:r>
      <w:r>
        <w:rPr>
          <w:rFonts w:hint="eastAsia" w:ascii="宋体" w:hAnsi="宋体"/>
          <w:sz w:val="30"/>
          <w:szCs w:val="30"/>
        </w:rPr>
        <w:t>。</w:t>
      </w:r>
    </w:p>
    <w:p>
      <w:pPr>
        <w:spacing w:line="480" w:lineRule="auto"/>
        <w:ind w:firstLine="600" w:firstLineChars="200"/>
        <w:rPr>
          <w:rFonts w:ascii="宋体" w:hAnsi="宋体"/>
          <w:sz w:val="30"/>
          <w:szCs w:val="30"/>
        </w:rPr>
      </w:pPr>
      <w:r>
        <w:rPr>
          <w:rFonts w:hint="eastAsia" w:ascii="宋体" w:hAnsi="宋体"/>
          <w:sz w:val="30"/>
          <w:szCs w:val="30"/>
        </w:rPr>
        <w:t>第二十四条 现金流量折现法通常包括企业自由现金流折现模型和股权自由现金流折现模型。资产评估师及其他评估专业人员应当根据被评估单位所处行业、经营模式、资本结构、发展趋势等，恰当选择现金流折现模型。</w:t>
      </w:r>
    </w:p>
    <w:p>
      <w:pPr>
        <w:spacing w:line="480" w:lineRule="auto"/>
        <w:ind w:firstLine="600" w:firstLineChars="200"/>
        <w:rPr>
          <w:rFonts w:ascii="宋体" w:hAnsi="宋体"/>
          <w:sz w:val="30"/>
          <w:szCs w:val="30"/>
        </w:rPr>
      </w:pPr>
      <w:r>
        <w:rPr>
          <w:rFonts w:hint="eastAsia" w:ascii="宋体" w:hAnsi="宋体"/>
          <w:sz w:val="30"/>
          <w:szCs w:val="30"/>
        </w:rPr>
        <w:t>预测现金流量，既可以从市场参与者角度进行，也可以选择特定投资者的角度。在实际控制或评估目的是为了获得实际控制权情形下，从特定投资者的角度预测现金流量时，适用的价值类型是投资价值。</w:t>
      </w:r>
    </w:p>
    <w:p>
      <w:pPr>
        <w:spacing w:line="480" w:lineRule="auto"/>
        <w:ind w:firstLine="600" w:firstLineChars="200"/>
        <w:rPr>
          <w:rFonts w:ascii="宋体" w:hAnsi="宋体"/>
          <w:sz w:val="30"/>
          <w:szCs w:val="30"/>
        </w:rPr>
      </w:pPr>
      <w:r>
        <w:rPr>
          <w:rFonts w:hint="eastAsia" w:ascii="宋体" w:hAnsi="宋体"/>
          <w:sz w:val="30"/>
          <w:szCs w:val="30"/>
        </w:rPr>
        <w:t>第二十五条 尽管委托人和相关当事人依法对提供的未来收益预测资料的真实性、合法性、完整性负责，资产评估师和其他资产评估专业人员仍应当与委托人和相关当事人讨论未来各种可能性，结合被评估单位的人力资源、技术水平、资本结构、经营状况、历史业绩、发展趋势，考虑宏观经济因素、所在行业现状与发展前景，分析未来收益预测资料与评估目的及评估假设的适用性。</w:t>
      </w:r>
    </w:p>
    <w:p>
      <w:pPr>
        <w:spacing w:line="480" w:lineRule="auto"/>
        <w:ind w:firstLine="600" w:firstLineChars="200"/>
        <w:rPr>
          <w:rFonts w:ascii="宋体" w:hAnsi="宋体"/>
          <w:sz w:val="30"/>
          <w:szCs w:val="30"/>
        </w:rPr>
      </w:pPr>
      <w:r>
        <w:rPr>
          <w:rFonts w:hint="eastAsia" w:ascii="宋体" w:hAnsi="宋体"/>
          <w:sz w:val="30"/>
          <w:szCs w:val="30"/>
        </w:rPr>
        <w:t>资产评估师和其他资产评估专业人员应当关注未来收益预测中经营管理、业务架构、主营业务收入、毛利率、营运资金、资本性支出等主要参数与评估假设的一致性。当预测趋势与历史业绩和现实经营状况存在重大差异时，资产评估师和其他资产评估专业人员应当要求委托人和相关当事人说明差异的合理性及可持续性，核查与评估假设一致后在评估报告中予以披露。</w:t>
      </w:r>
    </w:p>
    <w:p>
      <w:pPr>
        <w:spacing w:line="480" w:lineRule="auto"/>
        <w:ind w:firstLine="600" w:firstLineChars="200"/>
        <w:rPr>
          <w:rFonts w:ascii="宋体" w:hAnsi="宋体"/>
          <w:sz w:val="30"/>
          <w:szCs w:val="30"/>
        </w:rPr>
      </w:pPr>
      <w:r>
        <w:rPr>
          <w:rFonts w:hint="eastAsia" w:ascii="宋体" w:hAnsi="宋体"/>
          <w:sz w:val="30"/>
          <w:szCs w:val="30"/>
        </w:rPr>
        <w:t>第二十六条 资产评估师和其他资产评估专业人员应当根据国家有关法律法规、被评估单位所在行业现状与发展前景、协议与章程约定、经营状况、资产特点和资源条件等，恰当确定收益期。</w:t>
      </w:r>
    </w:p>
    <w:p>
      <w:pPr>
        <w:spacing w:line="480" w:lineRule="auto"/>
        <w:ind w:firstLine="600" w:firstLineChars="200"/>
        <w:rPr>
          <w:rFonts w:ascii="宋体" w:hAnsi="宋体"/>
          <w:sz w:val="30"/>
          <w:szCs w:val="30"/>
        </w:rPr>
      </w:pPr>
      <w:r>
        <w:rPr>
          <w:rFonts w:hint="eastAsia" w:ascii="宋体" w:hAnsi="宋体"/>
          <w:sz w:val="30"/>
          <w:szCs w:val="30"/>
        </w:rPr>
        <w:t>第二十七条 资产评估师和其他资产评估专业人员应当知晓企业经营达到相对稳定前的时间区间是确定预测期的主要因素。</w:t>
      </w:r>
    </w:p>
    <w:p>
      <w:pPr>
        <w:spacing w:line="480" w:lineRule="auto"/>
        <w:ind w:firstLine="600" w:firstLineChars="200"/>
        <w:rPr>
          <w:rFonts w:ascii="宋体"/>
          <w:sz w:val="30"/>
          <w:szCs w:val="30"/>
        </w:rPr>
      </w:pPr>
      <w:r>
        <w:rPr>
          <w:rFonts w:hint="eastAsia" w:ascii="宋体" w:hAnsi="宋体"/>
          <w:sz w:val="30"/>
          <w:szCs w:val="30"/>
        </w:rPr>
        <w:t>资产评估师和其他资产评估专业人员应当在对企业收入成本结构、资本结构、资本性支出、投资收益和风险水平等综合分析的基础上，结合宏观政策、行业周期及其他影响企业进入稳定期的因素合理确定预测期。</w:t>
      </w:r>
    </w:p>
    <w:p>
      <w:pPr>
        <w:spacing w:line="480" w:lineRule="auto"/>
        <w:ind w:firstLine="600" w:firstLineChars="200"/>
        <w:rPr>
          <w:rFonts w:ascii="宋体"/>
          <w:sz w:val="30"/>
          <w:szCs w:val="30"/>
        </w:rPr>
      </w:pPr>
      <w:r>
        <w:rPr>
          <w:rFonts w:hint="eastAsia" w:ascii="宋体" w:hAnsi="宋体"/>
          <w:sz w:val="30"/>
          <w:szCs w:val="30"/>
        </w:rPr>
        <w:t>第二十八条 资产评估师和其他资产评估专业人员确定折现率，应当综合考虑评估基准日的利率水平、市场投资收益率等资本市场相关信息和所在行业、被评估单位的特定风险等相关因素。</w:t>
      </w:r>
    </w:p>
    <w:p>
      <w:pPr>
        <w:spacing w:line="480" w:lineRule="auto"/>
        <w:ind w:firstLine="600" w:firstLineChars="200"/>
        <w:rPr>
          <w:rFonts w:ascii="宋体" w:hAnsi="宋体"/>
          <w:sz w:val="30"/>
          <w:szCs w:val="30"/>
        </w:rPr>
      </w:pPr>
      <w:r>
        <w:rPr>
          <w:rFonts w:hint="eastAsia" w:ascii="宋体" w:hAnsi="宋体"/>
          <w:sz w:val="30"/>
          <w:szCs w:val="30"/>
        </w:rPr>
        <w:t>第二十九条 资产评估师和其他资产评估专业人员应当根据企业进入稳定期的因素分析预测期后的收益趋势、终止经营后的处置方式等，选择恰当的方法估算预测期后的价值。</w:t>
      </w:r>
    </w:p>
    <w:p>
      <w:pPr>
        <w:spacing w:line="480" w:lineRule="auto"/>
        <w:ind w:firstLine="600" w:firstLineChars="200"/>
        <w:rPr>
          <w:rFonts w:ascii="宋体" w:hAnsi="宋体"/>
          <w:sz w:val="30"/>
          <w:szCs w:val="30"/>
        </w:rPr>
      </w:pPr>
      <w:r>
        <w:rPr>
          <w:rFonts w:hint="eastAsia" w:ascii="宋体" w:hAnsi="宋体"/>
          <w:sz w:val="30"/>
          <w:szCs w:val="30"/>
        </w:rPr>
        <w:t>第三十条 执行企业价值评估业务可以根据评估对象特点选择收益法的不同具体方法进行评估。资产评估师和其他资产评估专业人员应当根据被评估企业的具体情况选择恰当的预期收益口径，并确信折现率与预期收益的口径保持一致。</w:t>
      </w:r>
    </w:p>
    <w:p>
      <w:pPr>
        <w:spacing w:line="480" w:lineRule="auto"/>
        <w:ind w:firstLine="600" w:firstLineChars="200"/>
        <w:rPr>
          <w:rFonts w:ascii="宋体" w:hAnsi="宋体"/>
          <w:sz w:val="30"/>
          <w:szCs w:val="30"/>
        </w:rPr>
      </w:pPr>
      <w:r>
        <w:rPr>
          <w:rFonts w:hint="eastAsia" w:ascii="宋体" w:hAnsi="宋体"/>
          <w:sz w:val="30"/>
          <w:szCs w:val="30"/>
        </w:rPr>
        <w:t>第三十一条 企业价值评估中的市场法，是指将评估对象与可比上市公司或者可比交易案例进行比较，确定评估对象价值的评估方法。</w:t>
      </w:r>
    </w:p>
    <w:p>
      <w:pPr>
        <w:spacing w:line="480" w:lineRule="auto"/>
        <w:ind w:firstLine="600" w:firstLineChars="200"/>
        <w:rPr>
          <w:rFonts w:ascii="宋体"/>
          <w:sz w:val="30"/>
          <w:szCs w:val="30"/>
        </w:rPr>
      </w:pPr>
      <w:r>
        <w:rPr>
          <w:rFonts w:hint="eastAsia" w:ascii="宋体" w:hAnsi="宋体"/>
          <w:sz w:val="30"/>
          <w:szCs w:val="30"/>
        </w:rPr>
        <w:t>资产评估师和其他资产评估专业人员应当根据所获取可比企业经营和财务数据的充分性和可靠性、可收集到的可比企业数量，恰当考虑市场法的适用性。</w:t>
      </w:r>
    </w:p>
    <w:p>
      <w:pPr>
        <w:spacing w:line="480" w:lineRule="auto"/>
        <w:ind w:firstLine="600" w:firstLineChars="200"/>
        <w:rPr>
          <w:rFonts w:ascii="宋体"/>
          <w:sz w:val="30"/>
          <w:szCs w:val="30"/>
        </w:rPr>
      </w:pPr>
      <w:r>
        <w:rPr>
          <w:rFonts w:hint="eastAsia" w:ascii="宋体" w:hAnsi="宋体"/>
          <w:sz w:val="30"/>
          <w:szCs w:val="30"/>
        </w:rPr>
        <w:t>第三十二条 市场法常用的两种具体方法是上市公司比较法和交易案例比较法。</w:t>
      </w:r>
    </w:p>
    <w:p>
      <w:pPr>
        <w:spacing w:line="480" w:lineRule="auto"/>
        <w:ind w:firstLine="600" w:firstLineChars="200"/>
        <w:rPr>
          <w:rFonts w:ascii="宋体" w:hAnsi="宋体"/>
          <w:sz w:val="30"/>
          <w:szCs w:val="30"/>
        </w:rPr>
      </w:pPr>
      <w:r>
        <w:rPr>
          <w:rFonts w:hint="eastAsia" w:ascii="宋体" w:hAnsi="宋体"/>
          <w:sz w:val="30"/>
          <w:szCs w:val="30"/>
        </w:rPr>
        <w:t>第三十三条 上市公司比较法是指获取并分析可比上市公司的经营和财务数据，计算适当的价值比率，在与被评估企业比较分析的基础上，确定评估对象价值的具体方法。</w:t>
      </w:r>
    </w:p>
    <w:p>
      <w:pPr>
        <w:spacing w:line="480" w:lineRule="auto"/>
        <w:ind w:firstLine="600" w:firstLineChars="200"/>
        <w:rPr>
          <w:rFonts w:ascii="宋体"/>
          <w:sz w:val="30"/>
          <w:szCs w:val="30"/>
        </w:rPr>
      </w:pPr>
      <w:r>
        <w:rPr>
          <w:rFonts w:hint="eastAsia" w:ascii="宋体" w:hAnsi="宋体"/>
          <w:sz w:val="30"/>
          <w:szCs w:val="30"/>
        </w:rPr>
        <w:t>上市公司比较法中的可比企业应当是公开市场上正常交易的上市公司。在适当及切实可行的情况下，评估结果应当考虑控制权和流动性对评估对象价值的影响。</w:t>
      </w:r>
    </w:p>
    <w:p>
      <w:pPr>
        <w:spacing w:line="480" w:lineRule="auto"/>
        <w:ind w:firstLine="600" w:firstLineChars="200"/>
        <w:rPr>
          <w:rFonts w:ascii="宋体" w:hAnsi="宋体"/>
          <w:sz w:val="30"/>
          <w:szCs w:val="30"/>
        </w:rPr>
      </w:pPr>
      <w:r>
        <w:rPr>
          <w:rFonts w:hint="eastAsia" w:ascii="宋体" w:hAnsi="宋体"/>
          <w:sz w:val="30"/>
          <w:szCs w:val="30"/>
        </w:rPr>
        <w:t>第三十四条 交易案例比较法是指获取并分析可比企业的买卖、收购及合并案例资料，计算适当的价值比率，在与被评估企业比较分析的基础上，确定评估对象价值的具体方法。</w:t>
      </w:r>
    </w:p>
    <w:p>
      <w:pPr>
        <w:spacing w:line="480" w:lineRule="auto"/>
        <w:ind w:firstLine="600" w:firstLineChars="200"/>
        <w:rPr>
          <w:rFonts w:ascii="宋体"/>
          <w:sz w:val="30"/>
          <w:szCs w:val="30"/>
        </w:rPr>
      </w:pPr>
      <w:r>
        <w:rPr>
          <w:rFonts w:hint="eastAsia" w:ascii="宋体" w:hAnsi="宋体"/>
          <w:sz w:val="30"/>
          <w:szCs w:val="30"/>
        </w:rPr>
        <w:t>控制权以及交易数量可能影响交易案例比较法中的可比企业交易价格。在适当及切实可行的情况下，应当考虑评估对象与交易案例在控制权和流动性方面的差异及其对评估对象价值的影响。</w:t>
      </w:r>
    </w:p>
    <w:p>
      <w:pPr>
        <w:spacing w:line="480" w:lineRule="auto"/>
        <w:ind w:firstLine="600" w:firstLineChars="200"/>
        <w:rPr>
          <w:rFonts w:ascii="宋体" w:hAnsi="宋体"/>
          <w:sz w:val="30"/>
          <w:szCs w:val="30"/>
        </w:rPr>
      </w:pPr>
      <w:r>
        <w:rPr>
          <w:rFonts w:hint="eastAsia" w:ascii="宋体" w:hAnsi="宋体"/>
          <w:sz w:val="30"/>
          <w:szCs w:val="30"/>
        </w:rPr>
        <w:t>第三十五条  资产评估师和其他资产评估专业人员应当关注业务结构、经营模式、企业规模、资产配置和使用情况、企业所处经营阶段、成长性、经营风险、财务风险等因素，恰当选择与被评估单位进行比较分析的可比企业。</w:t>
      </w:r>
    </w:p>
    <w:p>
      <w:pPr>
        <w:spacing w:line="480" w:lineRule="auto"/>
        <w:ind w:firstLine="600" w:firstLineChars="200"/>
        <w:rPr>
          <w:rFonts w:ascii="宋体" w:hAnsi="宋体"/>
          <w:sz w:val="30"/>
          <w:szCs w:val="30"/>
        </w:rPr>
      </w:pPr>
      <w:r>
        <w:rPr>
          <w:rFonts w:hint="eastAsia" w:ascii="宋体" w:hAnsi="宋体"/>
          <w:sz w:val="30"/>
          <w:szCs w:val="30"/>
        </w:rPr>
        <w:t>资产评估师和其他资产评估专业人员所选择的可比企业与被评估单位应具有可比性。可比企业应当与被评估单位属于同一行业，或者受相同经济因素的影响。</w:t>
      </w:r>
    </w:p>
    <w:p>
      <w:pPr>
        <w:spacing w:line="480" w:lineRule="auto"/>
        <w:ind w:firstLine="600" w:firstLineChars="200"/>
        <w:rPr>
          <w:rFonts w:ascii="宋体" w:hAnsi="宋体"/>
          <w:sz w:val="30"/>
          <w:szCs w:val="30"/>
        </w:rPr>
      </w:pPr>
      <w:r>
        <w:rPr>
          <w:rFonts w:hint="eastAsia" w:ascii="宋体" w:hAnsi="宋体"/>
          <w:sz w:val="30"/>
          <w:szCs w:val="30"/>
        </w:rPr>
        <w:t>第三十六条 价值比率通常包括盈利比率、资产比率、收入比率和其他特定比率。</w:t>
      </w:r>
    </w:p>
    <w:p>
      <w:pPr>
        <w:spacing w:line="480" w:lineRule="auto"/>
        <w:ind w:firstLine="600" w:firstLineChars="200"/>
        <w:rPr>
          <w:rFonts w:ascii="宋体" w:hAnsi="宋体"/>
          <w:sz w:val="30"/>
          <w:szCs w:val="30"/>
        </w:rPr>
      </w:pPr>
      <w:r>
        <w:rPr>
          <w:rFonts w:hint="eastAsia" w:ascii="宋体" w:hAnsi="宋体"/>
          <w:sz w:val="30"/>
          <w:szCs w:val="30"/>
        </w:rPr>
        <w:t>在选择、计算、应用价值比率时，应当考虑：</w:t>
      </w:r>
    </w:p>
    <w:p>
      <w:pPr>
        <w:spacing w:line="480" w:lineRule="auto"/>
        <w:ind w:firstLine="600" w:firstLineChars="200"/>
        <w:rPr>
          <w:rFonts w:ascii="宋体" w:hAnsi="宋体"/>
          <w:sz w:val="30"/>
          <w:szCs w:val="30"/>
        </w:rPr>
      </w:pPr>
      <w:r>
        <w:rPr>
          <w:rFonts w:hint="eastAsia" w:ascii="宋体" w:hAnsi="宋体"/>
          <w:sz w:val="30"/>
          <w:szCs w:val="30"/>
        </w:rPr>
        <w:t>（一）选择的价值比率有利于合理确定评估对象的价值；</w:t>
      </w:r>
    </w:p>
    <w:p>
      <w:pPr>
        <w:spacing w:line="480" w:lineRule="auto"/>
        <w:ind w:firstLine="600" w:firstLineChars="200"/>
        <w:rPr>
          <w:rFonts w:ascii="宋体" w:hAnsi="宋体"/>
          <w:sz w:val="30"/>
          <w:szCs w:val="30"/>
        </w:rPr>
      </w:pPr>
      <w:r>
        <w:rPr>
          <w:rFonts w:hint="eastAsia" w:ascii="宋体" w:hAnsi="宋体"/>
          <w:sz w:val="30"/>
          <w:szCs w:val="30"/>
        </w:rPr>
        <w:t>（二）计算价值比率的数据口径及计算方式一致；</w:t>
      </w:r>
    </w:p>
    <w:p>
      <w:pPr>
        <w:spacing w:line="480" w:lineRule="auto"/>
        <w:ind w:firstLine="600" w:firstLineChars="200"/>
        <w:rPr>
          <w:rFonts w:ascii="宋体"/>
          <w:sz w:val="30"/>
          <w:szCs w:val="30"/>
        </w:rPr>
      </w:pPr>
      <w:r>
        <w:rPr>
          <w:rFonts w:hint="eastAsia" w:ascii="宋体" w:hAnsi="宋体"/>
          <w:sz w:val="30"/>
          <w:szCs w:val="30"/>
        </w:rPr>
        <w:t>（三）应用价值比率时尽可能对可比企业和被评估企业间的差异进行合理调整。</w:t>
      </w:r>
    </w:p>
    <w:p>
      <w:pPr>
        <w:spacing w:line="480" w:lineRule="auto"/>
        <w:ind w:firstLine="600" w:firstLineChars="200"/>
        <w:rPr>
          <w:rFonts w:ascii="宋体"/>
          <w:sz w:val="30"/>
          <w:szCs w:val="30"/>
        </w:rPr>
      </w:pPr>
      <w:r>
        <w:rPr>
          <w:rFonts w:hint="eastAsia" w:ascii="宋体" w:hAnsi="宋体"/>
          <w:sz w:val="30"/>
          <w:szCs w:val="30"/>
        </w:rPr>
        <w:t>第三十七条 企业价值评估中的资产基础法，是指以被评估单位评估基准日的资产负债表为基础，通过评估企业表内及表外各项资产、负债对整体的贡献价值，合理确定评估对象价值的评估方法。</w:t>
      </w:r>
    </w:p>
    <w:p>
      <w:pPr>
        <w:spacing w:line="480" w:lineRule="auto"/>
        <w:ind w:firstLine="600" w:firstLineChars="200"/>
        <w:rPr>
          <w:rFonts w:ascii="宋体" w:hAnsi="宋体"/>
          <w:sz w:val="30"/>
          <w:szCs w:val="30"/>
        </w:rPr>
      </w:pPr>
      <w:r>
        <w:rPr>
          <w:rFonts w:hint="eastAsia" w:ascii="宋体" w:hAnsi="宋体"/>
          <w:sz w:val="30"/>
          <w:szCs w:val="30"/>
        </w:rPr>
        <w:t>第三十八条 资产评估师和其他资产评估专业人员应当根据会计政策、企业经营等情况，要求被评估企业对资产负债表表内及表外的各项资产、负债进行识别。</w:t>
      </w:r>
    </w:p>
    <w:p>
      <w:pPr>
        <w:spacing w:line="480" w:lineRule="auto"/>
        <w:ind w:firstLine="600" w:firstLineChars="200"/>
        <w:rPr>
          <w:rFonts w:ascii="宋体"/>
          <w:sz w:val="30"/>
          <w:szCs w:val="30"/>
        </w:rPr>
      </w:pPr>
      <w:r>
        <w:rPr>
          <w:rFonts w:hint="eastAsia" w:ascii="宋体" w:hAnsi="宋体"/>
          <w:sz w:val="30"/>
          <w:szCs w:val="30"/>
        </w:rPr>
        <w:t>资产评估师和其他资产评估专业人员应当知晓并非每项资产和负债都可以被识别并用适当的方法单独评估。当存在对评估对象价值有重大影响且难以识别和评估的资产或者负债时，应当考虑资产基础法的适用性。　　</w:t>
      </w:r>
    </w:p>
    <w:p>
      <w:pPr>
        <w:spacing w:line="480" w:lineRule="auto"/>
        <w:ind w:firstLine="600" w:firstLineChars="200"/>
        <w:rPr>
          <w:rFonts w:ascii="宋体" w:hAnsi="宋体"/>
          <w:sz w:val="30"/>
          <w:szCs w:val="30"/>
        </w:rPr>
      </w:pPr>
      <w:r>
        <w:rPr>
          <w:rFonts w:hint="eastAsia" w:ascii="宋体" w:hAnsi="宋体"/>
          <w:sz w:val="30"/>
          <w:szCs w:val="30"/>
        </w:rPr>
        <w:t>第三十九条 运用资产基础法进行企业价值评估，各项资产的价值应当根据其具体情况选用适当的具体评估方法得出，可能有别于作为单项资产评估对象时的具体评估方法。</w:t>
      </w:r>
    </w:p>
    <w:p>
      <w:pPr>
        <w:spacing w:line="480" w:lineRule="auto"/>
        <w:ind w:firstLine="600" w:firstLineChars="200"/>
        <w:rPr>
          <w:rFonts w:ascii="宋体"/>
          <w:sz w:val="30"/>
          <w:szCs w:val="30"/>
        </w:rPr>
      </w:pPr>
      <w:r>
        <w:rPr>
          <w:rFonts w:hint="eastAsia" w:ascii="宋体" w:hAnsi="宋体"/>
          <w:sz w:val="30"/>
          <w:szCs w:val="30"/>
        </w:rPr>
        <w:t>资产评估师和其他资产评估专业人员应当知晓，在对持续经营前提下的企业价值进行评估时，单项资产或者资产组合作为企业资产的组成部分，其价值通常受其对企业贡献程度的影响。</w:t>
      </w:r>
    </w:p>
    <w:p>
      <w:pPr>
        <w:spacing w:line="480" w:lineRule="auto"/>
        <w:ind w:firstLine="600" w:firstLineChars="200"/>
        <w:rPr>
          <w:rFonts w:ascii="宋体" w:hAnsi="宋体"/>
          <w:sz w:val="30"/>
          <w:szCs w:val="30"/>
        </w:rPr>
      </w:pPr>
      <w:r>
        <w:rPr>
          <w:rFonts w:hint="eastAsia" w:ascii="宋体"/>
          <w:sz w:val="30"/>
          <w:szCs w:val="30"/>
        </w:rPr>
        <w:t xml:space="preserve">第四十条 </w:t>
      </w:r>
      <w:r>
        <w:rPr>
          <w:rFonts w:hint="eastAsia" w:ascii="宋体" w:hAnsi="宋体"/>
          <w:sz w:val="30"/>
          <w:szCs w:val="30"/>
        </w:rPr>
        <w:t>运用资产基础法进行企业价值评估，应当对长期股权投资项目进行分析，根据评估对象对长期投资项目的实际控制情况及其对评估对象价值的影响程度等因素，合理确定是否将其单独评估。</w:t>
      </w:r>
    </w:p>
    <w:p>
      <w:pPr>
        <w:spacing w:line="480" w:lineRule="auto"/>
        <w:ind w:firstLine="600" w:firstLineChars="200"/>
        <w:rPr>
          <w:rFonts w:ascii="宋体"/>
          <w:sz w:val="30"/>
          <w:szCs w:val="30"/>
        </w:rPr>
      </w:pPr>
      <w:r>
        <w:rPr>
          <w:rFonts w:hint="eastAsia" w:ascii="宋体" w:hAnsi="宋体"/>
          <w:sz w:val="30"/>
          <w:szCs w:val="30"/>
        </w:rPr>
        <w:t>对专门从长期股权投资获取收益的控股型企业进行评估时，应当考虑控股型企业总部的成本和效益对企业价值的影响。</w:t>
      </w:r>
    </w:p>
    <w:p>
      <w:pPr>
        <w:spacing w:line="480" w:lineRule="auto"/>
        <w:ind w:firstLine="600" w:firstLineChars="200"/>
        <w:rPr>
          <w:rFonts w:ascii="宋体"/>
          <w:sz w:val="30"/>
          <w:szCs w:val="30"/>
        </w:rPr>
      </w:pPr>
      <w:r>
        <w:rPr>
          <w:rFonts w:hint="eastAsia" w:ascii="宋体"/>
          <w:sz w:val="30"/>
          <w:szCs w:val="30"/>
        </w:rPr>
        <w:t xml:space="preserve">第四十一条 </w:t>
      </w:r>
      <w:r>
        <w:rPr>
          <w:rFonts w:hint="eastAsia" w:ascii="宋体" w:hAnsi="宋体"/>
          <w:sz w:val="30"/>
          <w:szCs w:val="30"/>
        </w:rPr>
        <w:t>对同一评估对象采用多种评估方法时，应当对各种初步评估结果进行分析，结合评估目的、不同评估方法使用数据的质量和数量，采用定性或者定量分析方式形成最终评估结果。</w:t>
      </w:r>
    </w:p>
    <w:p>
      <w:pPr>
        <w:spacing w:line="480" w:lineRule="auto"/>
        <w:ind w:firstLine="600" w:firstLineChars="200"/>
        <w:rPr>
          <w:rFonts w:ascii="宋体"/>
          <w:sz w:val="30"/>
          <w:szCs w:val="30"/>
        </w:rPr>
      </w:pPr>
    </w:p>
    <w:p>
      <w:pPr>
        <w:numPr>
          <w:ilvl w:val="0"/>
          <w:numId w:val="1"/>
        </w:numPr>
        <w:spacing w:line="480" w:lineRule="auto"/>
        <w:jc w:val="center"/>
        <w:rPr>
          <w:rFonts w:ascii="宋体"/>
          <w:sz w:val="30"/>
          <w:szCs w:val="30"/>
        </w:rPr>
      </w:pPr>
      <w:r>
        <w:rPr>
          <w:rFonts w:hint="eastAsia" w:ascii="宋体" w:hAnsi="宋体"/>
          <w:sz w:val="30"/>
          <w:szCs w:val="30"/>
        </w:rPr>
        <w:t>披露要求</w:t>
      </w:r>
    </w:p>
    <w:p>
      <w:pPr>
        <w:spacing w:line="480" w:lineRule="auto"/>
        <w:rPr>
          <w:rFonts w:ascii="宋体"/>
          <w:sz w:val="30"/>
          <w:szCs w:val="30"/>
        </w:rPr>
      </w:pPr>
    </w:p>
    <w:p>
      <w:pPr>
        <w:ind w:firstLine="600" w:firstLineChars="200"/>
        <w:rPr>
          <w:rFonts w:ascii="宋体"/>
          <w:sz w:val="30"/>
          <w:szCs w:val="30"/>
        </w:rPr>
      </w:pPr>
      <w:r>
        <w:rPr>
          <w:rFonts w:hint="eastAsia" w:ascii="宋体" w:hAnsi="宋体"/>
          <w:sz w:val="30"/>
          <w:szCs w:val="30"/>
        </w:rPr>
        <w:t>第四十二条 执行企业价值评估业务，应当在履行必要的评估程序后，根据《资产评估准则——资产评估报告》编制评估报告，并进行恰当披露。</w:t>
      </w:r>
    </w:p>
    <w:p>
      <w:pPr>
        <w:ind w:firstLine="600" w:firstLineChars="200"/>
        <w:rPr>
          <w:rFonts w:ascii="宋体" w:hAnsi="宋体"/>
          <w:sz w:val="30"/>
          <w:szCs w:val="30"/>
        </w:rPr>
      </w:pPr>
      <w:r>
        <w:rPr>
          <w:rFonts w:hint="eastAsia" w:ascii="宋体" w:hAnsi="宋体"/>
          <w:sz w:val="30"/>
          <w:szCs w:val="30"/>
        </w:rPr>
        <w:t>第四十三条  执行企业价值评估业务，应当在评估报告中披露必要信息，使评估报告使用人能够合理理解评估结果。</w:t>
      </w:r>
    </w:p>
    <w:p>
      <w:pPr>
        <w:ind w:firstLine="600" w:firstLineChars="200"/>
        <w:rPr>
          <w:rFonts w:ascii="宋体" w:hAnsi="宋体"/>
          <w:sz w:val="30"/>
          <w:szCs w:val="30"/>
        </w:rPr>
      </w:pPr>
      <w:r>
        <w:rPr>
          <w:rFonts w:hint="eastAsia" w:ascii="宋体" w:hAnsi="宋体"/>
          <w:sz w:val="30"/>
          <w:szCs w:val="30"/>
        </w:rPr>
        <w:t>第四十四条 运用收益法和市场法进行企业价值评估，应当在评估报告中重点披露下列内容：</w:t>
      </w:r>
    </w:p>
    <w:p>
      <w:pPr>
        <w:ind w:firstLine="600" w:firstLineChars="200"/>
        <w:rPr>
          <w:rFonts w:ascii="宋体" w:hAnsi="宋体"/>
          <w:sz w:val="30"/>
          <w:szCs w:val="30"/>
        </w:rPr>
      </w:pPr>
      <w:r>
        <w:rPr>
          <w:rFonts w:hint="eastAsia" w:ascii="宋体" w:hAnsi="宋体"/>
          <w:sz w:val="30"/>
          <w:szCs w:val="30"/>
        </w:rPr>
        <w:t>（一）影响企业经营的宏观、区域经济因素；</w:t>
      </w:r>
    </w:p>
    <w:p>
      <w:pPr>
        <w:ind w:firstLine="600" w:firstLineChars="200"/>
        <w:rPr>
          <w:rFonts w:ascii="宋体" w:hAnsi="宋体"/>
          <w:sz w:val="30"/>
          <w:szCs w:val="30"/>
        </w:rPr>
      </w:pPr>
      <w:r>
        <w:rPr>
          <w:rFonts w:hint="eastAsia" w:ascii="宋体" w:hAnsi="宋体"/>
          <w:sz w:val="30"/>
          <w:szCs w:val="30"/>
        </w:rPr>
        <w:t>（二）所在行业现状与发展前景；</w:t>
      </w:r>
    </w:p>
    <w:p>
      <w:pPr>
        <w:ind w:firstLine="600" w:firstLineChars="200"/>
        <w:rPr>
          <w:rFonts w:ascii="宋体" w:hAnsi="宋体"/>
          <w:sz w:val="30"/>
          <w:szCs w:val="30"/>
        </w:rPr>
      </w:pPr>
      <w:r>
        <w:rPr>
          <w:rFonts w:hint="eastAsia" w:ascii="宋体" w:hAnsi="宋体"/>
          <w:sz w:val="30"/>
          <w:szCs w:val="30"/>
        </w:rPr>
        <w:t>（三）企业的业务分析情况；</w:t>
      </w:r>
    </w:p>
    <w:p>
      <w:pPr>
        <w:ind w:firstLine="600" w:firstLineChars="200"/>
        <w:rPr>
          <w:rFonts w:ascii="宋体" w:hAnsi="宋体"/>
          <w:sz w:val="30"/>
          <w:szCs w:val="30"/>
        </w:rPr>
      </w:pPr>
      <w:r>
        <w:rPr>
          <w:rFonts w:hint="eastAsia" w:ascii="宋体" w:hAnsi="宋体"/>
          <w:sz w:val="30"/>
          <w:szCs w:val="30"/>
        </w:rPr>
        <w:t>（四）企业的资产、财务分析和调整情况；</w:t>
      </w:r>
    </w:p>
    <w:p>
      <w:pPr>
        <w:ind w:firstLine="600" w:firstLineChars="200"/>
        <w:rPr>
          <w:rFonts w:ascii="宋体" w:hAnsi="宋体"/>
          <w:sz w:val="30"/>
          <w:szCs w:val="30"/>
        </w:rPr>
      </w:pPr>
      <w:r>
        <w:rPr>
          <w:rFonts w:hint="eastAsia" w:ascii="宋体" w:hAnsi="宋体"/>
          <w:sz w:val="30"/>
          <w:szCs w:val="30"/>
        </w:rPr>
        <w:t>（五）评估方法的运用实施过程。</w:t>
      </w:r>
    </w:p>
    <w:p>
      <w:pPr>
        <w:ind w:firstLine="600" w:firstLineChars="200"/>
        <w:rPr>
          <w:rFonts w:ascii="宋体" w:hAnsi="宋体"/>
          <w:sz w:val="30"/>
          <w:szCs w:val="30"/>
        </w:rPr>
      </w:pPr>
      <w:r>
        <w:rPr>
          <w:rFonts w:hint="eastAsia" w:ascii="宋体" w:hAnsi="宋体"/>
          <w:sz w:val="30"/>
          <w:szCs w:val="30"/>
        </w:rPr>
        <w:t>第四十五条 在评估报告中披露影响企业经营的宏观、区域经济因素时，通常包括下列内容：</w:t>
      </w:r>
    </w:p>
    <w:p>
      <w:pPr>
        <w:ind w:firstLine="600" w:firstLineChars="200"/>
        <w:rPr>
          <w:rFonts w:ascii="宋体" w:hAnsi="宋体"/>
          <w:sz w:val="30"/>
          <w:szCs w:val="30"/>
        </w:rPr>
      </w:pPr>
      <w:r>
        <w:rPr>
          <w:rFonts w:hint="eastAsia" w:ascii="宋体" w:hAnsi="宋体"/>
          <w:sz w:val="30"/>
          <w:szCs w:val="30"/>
        </w:rPr>
        <w:t>（一）国家、地区有关企业经营的法律法规；</w:t>
      </w:r>
    </w:p>
    <w:p>
      <w:pPr>
        <w:ind w:firstLine="600" w:firstLineChars="200"/>
        <w:rPr>
          <w:rFonts w:ascii="宋体" w:hAnsi="宋体"/>
          <w:sz w:val="30"/>
          <w:szCs w:val="30"/>
        </w:rPr>
      </w:pPr>
      <w:r>
        <w:rPr>
          <w:rFonts w:hint="eastAsia" w:ascii="宋体" w:hAnsi="宋体"/>
          <w:sz w:val="30"/>
          <w:szCs w:val="30"/>
        </w:rPr>
        <w:t>（二）国家、地区经济形势及未来发展趋势；</w:t>
      </w:r>
    </w:p>
    <w:p>
      <w:pPr>
        <w:ind w:firstLine="600" w:firstLineChars="200"/>
        <w:rPr>
          <w:rFonts w:ascii="宋体"/>
          <w:sz w:val="30"/>
          <w:szCs w:val="30"/>
        </w:rPr>
      </w:pPr>
      <w:r>
        <w:rPr>
          <w:rFonts w:hint="eastAsia" w:ascii="宋体" w:hAnsi="宋体"/>
          <w:sz w:val="30"/>
          <w:szCs w:val="30"/>
        </w:rPr>
        <w:t>（三）有关财政、货币政策等。</w:t>
      </w:r>
    </w:p>
    <w:p>
      <w:pPr>
        <w:ind w:firstLine="600" w:firstLineChars="200"/>
        <w:rPr>
          <w:rFonts w:ascii="宋体" w:hAnsi="宋体"/>
          <w:sz w:val="30"/>
          <w:szCs w:val="30"/>
        </w:rPr>
      </w:pPr>
      <w:r>
        <w:rPr>
          <w:rFonts w:hint="eastAsia" w:ascii="宋体" w:hAnsi="宋体"/>
          <w:sz w:val="30"/>
          <w:szCs w:val="30"/>
        </w:rPr>
        <w:t>第四十六条 在评估报告中披露所在行业现状与发展前景时，通常包括下列内容：</w:t>
      </w:r>
    </w:p>
    <w:p>
      <w:pPr>
        <w:ind w:firstLine="600" w:firstLineChars="200"/>
        <w:rPr>
          <w:rFonts w:ascii="宋体" w:hAnsi="宋体"/>
          <w:sz w:val="30"/>
          <w:szCs w:val="30"/>
        </w:rPr>
      </w:pPr>
      <w:r>
        <w:rPr>
          <w:rFonts w:hint="eastAsia" w:ascii="宋体" w:hAnsi="宋体"/>
          <w:sz w:val="30"/>
          <w:szCs w:val="30"/>
        </w:rPr>
        <w:t>（一）行业主要政策规定；</w:t>
      </w:r>
    </w:p>
    <w:p>
      <w:pPr>
        <w:ind w:firstLine="600" w:firstLineChars="200"/>
        <w:rPr>
          <w:rFonts w:ascii="宋体" w:hAnsi="宋体"/>
          <w:sz w:val="30"/>
          <w:szCs w:val="30"/>
        </w:rPr>
      </w:pPr>
      <w:r>
        <w:rPr>
          <w:rFonts w:hint="eastAsia" w:ascii="宋体" w:hAnsi="宋体"/>
          <w:sz w:val="30"/>
          <w:szCs w:val="30"/>
        </w:rPr>
        <w:t>（二）行业竞争情况；</w:t>
      </w:r>
    </w:p>
    <w:p>
      <w:pPr>
        <w:ind w:firstLine="600" w:firstLineChars="200"/>
        <w:rPr>
          <w:rFonts w:ascii="宋体" w:hAnsi="宋体"/>
          <w:sz w:val="30"/>
          <w:szCs w:val="30"/>
        </w:rPr>
      </w:pPr>
      <w:r>
        <w:rPr>
          <w:rFonts w:hint="eastAsia" w:ascii="宋体" w:hAnsi="宋体"/>
          <w:sz w:val="30"/>
          <w:szCs w:val="30"/>
        </w:rPr>
        <w:t>（三）行业发展的有利和不利因素；</w:t>
      </w:r>
    </w:p>
    <w:p>
      <w:pPr>
        <w:ind w:firstLine="600" w:firstLineChars="200"/>
        <w:rPr>
          <w:rFonts w:ascii="宋体" w:hAnsi="宋体"/>
          <w:sz w:val="30"/>
          <w:szCs w:val="30"/>
        </w:rPr>
      </w:pPr>
      <w:r>
        <w:rPr>
          <w:rFonts w:hint="eastAsia" w:ascii="宋体" w:hAnsi="宋体"/>
          <w:sz w:val="30"/>
          <w:szCs w:val="30"/>
        </w:rPr>
        <w:t>（四）行业特有的经营模式，行业的周期性、区域性和季节性特征等；</w:t>
      </w:r>
    </w:p>
    <w:p>
      <w:pPr>
        <w:ind w:firstLine="600" w:firstLineChars="200"/>
        <w:rPr>
          <w:rFonts w:ascii="宋体"/>
          <w:sz w:val="30"/>
          <w:szCs w:val="30"/>
        </w:rPr>
      </w:pPr>
      <w:r>
        <w:rPr>
          <w:rFonts w:hint="eastAsia" w:ascii="宋体" w:hAnsi="宋体"/>
          <w:sz w:val="30"/>
          <w:szCs w:val="30"/>
        </w:rPr>
        <w:t>（五）企业所在行业与上下游行业之间的关联性，上下游行业发展对本行业发展的有利和不利影响。</w:t>
      </w:r>
    </w:p>
    <w:p>
      <w:pPr>
        <w:ind w:firstLine="600" w:firstLineChars="200"/>
        <w:rPr>
          <w:rFonts w:ascii="宋体" w:hAnsi="宋体"/>
          <w:sz w:val="30"/>
          <w:szCs w:val="30"/>
        </w:rPr>
      </w:pPr>
      <w:r>
        <w:rPr>
          <w:rFonts w:hint="eastAsia" w:ascii="宋体" w:hAnsi="宋体"/>
          <w:sz w:val="30"/>
          <w:szCs w:val="30"/>
        </w:rPr>
        <w:t>第四十七条 在评估报告中披露企业的业务分析情况时，通常包括下列内容：</w:t>
      </w:r>
    </w:p>
    <w:p>
      <w:pPr>
        <w:ind w:firstLine="600" w:firstLineChars="200"/>
        <w:rPr>
          <w:rFonts w:ascii="宋体" w:hAnsi="宋体"/>
          <w:sz w:val="30"/>
          <w:szCs w:val="30"/>
        </w:rPr>
      </w:pPr>
      <w:r>
        <w:rPr>
          <w:rFonts w:hint="eastAsia" w:ascii="宋体" w:hAnsi="宋体"/>
          <w:sz w:val="30"/>
          <w:szCs w:val="30"/>
        </w:rPr>
        <w:t>（一）主要产品或者服务的用途；</w:t>
      </w:r>
    </w:p>
    <w:p>
      <w:pPr>
        <w:ind w:firstLine="600" w:firstLineChars="200"/>
        <w:rPr>
          <w:rFonts w:ascii="宋体" w:hAnsi="宋体"/>
          <w:sz w:val="30"/>
          <w:szCs w:val="30"/>
        </w:rPr>
      </w:pPr>
      <w:r>
        <w:rPr>
          <w:rFonts w:hint="eastAsia" w:ascii="宋体" w:hAnsi="宋体"/>
          <w:sz w:val="30"/>
          <w:szCs w:val="30"/>
        </w:rPr>
        <w:t>（二）经营模式；</w:t>
      </w:r>
    </w:p>
    <w:p>
      <w:pPr>
        <w:ind w:firstLine="600" w:firstLineChars="200"/>
        <w:rPr>
          <w:rFonts w:ascii="宋体" w:hAnsi="宋体"/>
          <w:sz w:val="30"/>
          <w:szCs w:val="30"/>
        </w:rPr>
      </w:pPr>
      <w:r>
        <w:rPr>
          <w:rFonts w:hint="eastAsia" w:ascii="宋体" w:hAnsi="宋体"/>
          <w:sz w:val="30"/>
          <w:szCs w:val="30"/>
        </w:rPr>
        <w:t>（三）经营管理状况；</w:t>
      </w:r>
    </w:p>
    <w:p>
      <w:pPr>
        <w:ind w:firstLine="600" w:firstLineChars="200"/>
        <w:rPr>
          <w:rFonts w:ascii="宋体" w:hAnsi="宋体"/>
          <w:sz w:val="30"/>
          <w:szCs w:val="30"/>
        </w:rPr>
      </w:pPr>
      <w:r>
        <w:rPr>
          <w:rFonts w:hint="eastAsia" w:ascii="宋体" w:hAnsi="宋体"/>
          <w:sz w:val="30"/>
          <w:szCs w:val="30"/>
        </w:rPr>
        <w:t>（四）企业在行业中的地位、竞争优势及劣势；</w:t>
      </w:r>
    </w:p>
    <w:p>
      <w:pPr>
        <w:ind w:firstLine="600" w:firstLineChars="200"/>
        <w:rPr>
          <w:rFonts w:ascii="宋体"/>
          <w:sz w:val="30"/>
          <w:szCs w:val="30"/>
        </w:rPr>
      </w:pPr>
      <w:r>
        <w:rPr>
          <w:rFonts w:hint="eastAsia" w:ascii="宋体" w:hAnsi="宋体"/>
          <w:sz w:val="30"/>
          <w:szCs w:val="30"/>
        </w:rPr>
        <w:t>（五）企业的发展战略及经营策略等。</w:t>
      </w:r>
    </w:p>
    <w:p>
      <w:pPr>
        <w:ind w:firstLine="600" w:firstLineChars="200"/>
        <w:rPr>
          <w:rFonts w:ascii="宋体" w:hAnsi="宋体"/>
          <w:sz w:val="30"/>
          <w:szCs w:val="30"/>
        </w:rPr>
      </w:pPr>
      <w:r>
        <w:rPr>
          <w:rFonts w:hint="eastAsia" w:ascii="宋体" w:hAnsi="宋体"/>
          <w:sz w:val="30"/>
          <w:szCs w:val="30"/>
        </w:rPr>
        <w:t>第四十八条 在评估报告中披露企业的资产、财务分析和调整情况时，通常包括下列内容：</w:t>
      </w:r>
    </w:p>
    <w:p>
      <w:pPr>
        <w:ind w:firstLine="600" w:firstLineChars="200"/>
        <w:rPr>
          <w:rFonts w:ascii="宋体" w:hAnsi="宋体"/>
          <w:sz w:val="30"/>
          <w:szCs w:val="30"/>
        </w:rPr>
      </w:pPr>
      <w:r>
        <w:rPr>
          <w:rFonts w:hint="eastAsia" w:ascii="宋体" w:hAnsi="宋体"/>
          <w:sz w:val="30"/>
          <w:szCs w:val="30"/>
        </w:rPr>
        <w:t>（一）资产配置和使用的情况；</w:t>
      </w:r>
    </w:p>
    <w:p>
      <w:pPr>
        <w:ind w:firstLine="600" w:firstLineChars="200"/>
        <w:rPr>
          <w:rFonts w:ascii="宋体" w:hAnsi="宋体"/>
          <w:sz w:val="30"/>
          <w:szCs w:val="30"/>
        </w:rPr>
      </w:pPr>
      <w:r>
        <w:rPr>
          <w:rFonts w:hint="eastAsia" w:ascii="宋体" w:hAnsi="宋体"/>
          <w:sz w:val="30"/>
          <w:szCs w:val="30"/>
        </w:rPr>
        <w:t>（二）历史财务资料的分析总结，一般包括历史年度财务分析、与所在行业或者可比企业的财务比较分析等；</w:t>
      </w:r>
    </w:p>
    <w:p>
      <w:pPr>
        <w:ind w:firstLine="600" w:firstLineChars="200"/>
        <w:rPr>
          <w:rFonts w:ascii="宋体"/>
          <w:sz w:val="30"/>
          <w:szCs w:val="30"/>
        </w:rPr>
      </w:pPr>
      <w:r>
        <w:rPr>
          <w:rFonts w:hint="eastAsia" w:ascii="宋体" w:hAnsi="宋体"/>
          <w:sz w:val="30"/>
          <w:szCs w:val="30"/>
        </w:rPr>
        <w:t>（三）对财务报表及相关申报资料的重大或者实质性调整。</w:t>
      </w:r>
    </w:p>
    <w:p>
      <w:pPr>
        <w:ind w:firstLine="600" w:firstLineChars="200"/>
        <w:rPr>
          <w:rFonts w:ascii="宋体" w:hAnsi="宋体"/>
          <w:sz w:val="30"/>
          <w:szCs w:val="30"/>
        </w:rPr>
      </w:pPr>
      <w:r>
        <w:rPr>
          <w:rFonts w:hint="eastAsia" w:ascii="宋体" w:hAnsi="宋体"/>
          <w:sz w:val="30"/>
          <w:szCs w:val="30"/>
        </w:rPr>
        <w:t>第四十九条  在评估报告中披露评估方法的运用实施过程时，通常包括下列内容：</w:t>
      </w:r>
    </w:p>
    <w:p>
      <w:pPr>
        <w:ind w:firstLine="600" w:firstLineChars="200"/>
        <w:rPr>
          <w:rFonts w:ascii="宋体" w:hAnsi="宋体"/>
          <w:sz w:val="30"/>
          <w:szCs w:val="30"/>
        </w:rPr>
      </w:pPr>
      <w:r>
        <w:rPr>
          <w:rFonts w:hint="eastAsia" w:ascii="宋体" w:hAnsi="宋体"/>
          <w:sz w:val="30"/>
          <w:szCs w:val="30"/>
        </w:rPr>
        <w:t>（一）评估方法的选择及其理由；</w:t>
      </w:r>
    </w:p>
    <w:p>
      <w:pPr>
        <w:ind w:firstLine="600" w:firstLineChars="200"/>
        <w:rPr>
          <w:rFonts w:ascii="宋体" w:hAnsi="宋体"/>
          <w:sz w:val="30"/>
          <w:szCs w:val="30"/>
        </w:rPr>
      </w:pPr>
      <w:r>
        <w:rPr>
          <w:rFonts w:hint="eastAsia" w:ascii="宋体" w:hAnsi="宋体"/>
          <w:sz w:val="30"/>
          <w:szCs w:val="30"/>
        </w:rPr>
        <w:t>（二）评估方法的运用和逻辑推理过程；</w:t>
      </w:r>
    </w:p>
    <w:p>
      <w:pPr>
        <w:ind w:firstLine="600" w:firstLineChars="200"/>
        <w:rPr>
          <w:rFonts w:ascii="宋体" w:hAnsi="宋体"/>
          <w:sz w:val="30"/>
          <w:szCs w:val="30"/>
        </w:rPr>
      </w:pPr>
      <w:r>
        <w:rPr>
          <w:rFonts w:hint="eastAsia" w:ascii="宋体" w:hAnsi="宋体"/>
          <w:sz w:val="30"/>
          <w:szCs w:val="30"/>
        </w:rPr>
        <w:t>（三）主要参数的来源、分析、比较和测算过程；</w:t>
      </w:r>
    </w:p>
    <w:p>
      <w:pPr>
        <w:ind w:firstLine="600" w:firstLineChars="200"/>
        <w:rPr>
          <w:rFonts w:ascii="宋体" w:hAnsi="宋体"/>
          <w:sz w:val="30"/>
          <w:szCs w:val="30"/>
        </w:rPr>
      </w:pPr>
      <w:r>
        <w:rPr>
          <w:rFonts w:hint="eastAsia" w:ascii="宋体" w:hAnsi="宋体"/>
          <w:sz w:val="30"/>
          <w:szCs w:val="30"/>
        </w:rPr>
        <w:t>（四）在适当及切实可行的情况下考虑的控制权和流动性影响；</w:t>
      </w:r>
    </w:p>
    <w:p>
      <w:pPr>
        <w:ind w:firstLine="600" w:firstLineChars="200"/>
        <w:rPr>
          <w:rFonts w:ascii="宋体"/>
          <w:sz w:val="30"/>
          <w:szCs w:val="30"/>
        </w:rPr>
      </w:pPr>
      <w:r>
        <w:rPr>
          <w:rFonts w:hint="eastAsia" w:ascii="宋体" w:hAnsi="宋体"/>
          <w:sz w:val="30"/>
          <w:szCs w:val="30"/>
        </w:rPr>
        <w:t>（五）对初步评估结果进行分析，形成最终评估结果的过程。</w:t>
      </w:r>
    </w:p>
    <w:p>
      <w:pPr>
        <w:ind w:firstLine="600" w:firstLineChars="200"/>
        <w:rPr>
          <w:rFonts w:ascii="宋体"/>
          <w:sz w:val="30"/>
          <w:szCs w:val="30"/>
        </w:rPr>
      </w:pPr>
      <w:r>
        <w:rPr>
          <w:rFonts w:hint="eastAsia" w:ascii="宋体" w:hAnsi="宋体"/>
          <w:sz w:val="30"/>
          <w:szCs w:val="30"/>
        </w:rPr>
        <w:t>第五十条 资产评估师和其他资产评估专业人员应当在评估报告中披露无法核查验证的事项及其对评估结果的影响。</w:t>
      </w:r>
    </w:p>
    <w:p>
      <w:pPr>
        <w:ind w:firstLine="600" w:firstLineChars="200"/>
        <w:rPr>
          <w:rFonts w:ascii="宋体" w:hAnsi="宋体"/>
          <w:sz w:val="30"/>
          <w:szCs w:val="30"/>
        </w:rPr>
      </w:pPr>
      <w:r>
        <w:rPr>
          <w:rFonts w:hint="eastAsia" w:ascii="宋体" w:hAnsi="宋体"/>
          <w:sz w:val="30"/>
          <w:szCs w:val="30"/>
        </w:rPr>
        <w:t>第五十一条 资产评估师和其他资产评估专业人员应当在评估报告中载明：委托人或者评估报告使用人未按法律法规规定和评估报告载明的使用范围使用评估报告的，资产评估机构及其资产评估专业人员不承担责任；除委托人、评估委托合同中约定的其他评估报告使用人和国家法律、法规规定的评估报告使用人之外，任何机构和个人不能由于得到评估报告而成为评估报告的使用人。</w:t>
      </w:r>
    </w:p>
    <w:p>
      <w:pPr>
        <w:ind w:firstLine="600" w:firstLineChars="200"/>
        <w:rPr>
          <w:rFonts w:ascii="宋体" w:hAnsi="宋体"/>
          <w:sz w:val="30"/>
          <w:szCs w:val="30"/>
        </w:rPr>
      </w:pPr>
      <w:r>
        <w:rPr>
          <w:rFonts w:hint="eastAsia" w:ascii="宋体" w:hAnsi="宋体"/>
          <w:sz w:val="30"/>
          <w:szCs w:val="30"/>
        </w:rPr>
        <w:t>第五十二条 资产评估师和其他资产评估专业人员应当在评估报告中提醒评估报告使用人正确理解评估结果，评估结果不等同于评估对象可实现的价格，评估结果不应当被认为是对评估对象可实现价格的保证。</w:t>
      </w:r>
    </w:p>
    <w:p>
      <w:pPr>
        <w:ind w:firstLine="600" w:firstLineChars="200"/>
        <w:rPr>
          <w:rFonts w:ascii="宋体" w:hAnsi="宋体"/>
          <w:sz w:val="30"/>
          <w:szCs w:val="30"/>
        </w:rPr>
      </w:pPr>
      <w:r>
        <w:rPr>
          <w:rFonts w:hint="eastAsia" w:ascii="宋体" w:hAnsi="宋体"/>
          <w:sz w:val="30"/>
          <w:szCs w:val="30"/>
        </w:rPr>
        <w:t>第五十三条 资产评估师和其他资产评估专业人员可以根据评估对象的复杂程度、委托人要求，合理确定评估报告披露的详略程度。</w:t>
      </w:r>
    </w:p>
    <w:p>
      <w:pPr>
        <w:ind w:firstLine="600" w:firstLineChars="200"/>
        <w:rPr>
          <w:rFonts w:ascii="宋体" w:hAnsi="宋体"/>
          <w:sz w:val="30"/>
          <w:szCs w:val="30"/>
        </w:rPr>
      </w:pPr>
    </w:p>
    <w:p>
      <w:pPr>
        <w:numPr>
          <w:ilvl w:val="0"/>
          <w:numId w:val="1"/>
        </w:numPr>
        <w:spacing w:line="480" w:lineRule="auto"/>
        <w:jc w:val="center"/>
        <w:rPr>
          <w:rFonts w:ascii="宋体"/>
          <w:sz w:val="30"/>
          <w:szCs w:val="30"/>
        </w:rPr>
      </w:pPr>
      <w:r>
        <w:rPr>
          <w:rFonts w:hint="eastAsia" w:ascii="宋体" w:hAnsi="宋体"/>
          <w:sz w:val="30"/>
          <w:szCs w:val="30"/>
        </w:rPr>
        <w:t>附</w:t>
      </w:r>
      <w:r>
        <w:rPr>
          <w:rFonts w:ascii="宋体" w:hAnsi="宋体"/>
          <w:sz w:val="30"/>
          <w:szCs w:val="30"/>
        </w:rPr>
        <w:t xml:space="preserve"> </w:t>
      </w:r>
      <w:r>
        <w:rPr>
          <w:rFonts w:hint="eastAsia" w:ascii="宋体" w:hAnsi="宋体"/>
          <w:sz w:val="30"/>
          <w:szCs w:val="30"/>
        </w:rPr>
        <w:t>则</w:t>
      </w:r>
    </w:p>
    <w:p>
      <w:pPr>
        <w:spacing w:line="480" w:lineRule="auto"/>
        <w:rPr>
          <w:rFonts w:ascii="宋体"/>
          <w:sz w:val="30"/>
          <w:szCs w:val="30"/>
        </w:rPr>
      </w:pPr>
    </w:p>
    <w:p>
      <w:pPr>
        <w:ind w:firstLine="600" w:firstLineChars="200"/>
        <w:rPr>
          <w:rFonts w:ascii="宋体" w:hAnsi="宋体"/>
          <w:sz w:val="30"/>
          <w:szCs w:val="30"/>
        </w:rPr>
      </w:pPr>
      <w:r>
        <w:rPr>
          <w:rFonts w:hint="eastAsia" w:ascii="宋体" w:hAnsi="宋体"/>
          <w:sz w:val="30"/>
          <w:szCs w:val="30"/>
        </w:rPr>
        <w:t>第五十四条 本准则自   年 月  日起施行。</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525CB"/>
    <w:multiLevelType w:val="multilevel"/>
    <w:tmpl w:val="343525CB"/>
    <w:lvl w:ilvl="0" w:tentative="0">
      <w:start w:val="1"/>
      <w:numFmt w:val="japaneseCounting"/>
      <w:lvlText w:val="第%1章"/>
      <w:lvlJc w:val="left"/>
      <w:pPr>
        <w:tabs>
          <w:tab w:val="left" w:pos="1350"/>
        </w:tabs>
        <w:ind w:left="1350" w:hanging="135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1997"/>
    <w:rsid w:val="0002301F"/>
    <w:rsid w:val="000234EF"/>
    <w:rsid w:val="00051813"/>
    <w:rsid w:val="00056A27"/>
    <w:rsid w:val="00065670"/>
    <w:rsid w:val="00091BC3"/>
    <w:rsid w:val="00096946"/>
    <w:rsid w:val="000A742F"/>
    <w:rsid w:val="000B41CB"/>
    <w:rsid w:val="000B43FD"/>
    <w:rsid w:val="000C5195"/>
    <w:rsid w:val="000D3CC2"/>
    <w:rsid w:val="000F2196"/>
    <w:rsid w:val="001256A9"/>
    <w:rsid w:val="0014681A"/>
    <w:rsid w:val="00163235"/>
    <w:rsid w:val="00170507"/>
    <w:rsid w:val="001724D6"/>
    <w:rsid w:val="00181B00"/>
    <w:rsid w:val="00181C7F"/>
    <w:rsid w:val="001B6820"/>
    <w:rsid w:val="002321E9"/>
    <w:rsid w:val="00234AEA"/>
    <w:rsid w:val="00240BD9"/>
    <w:rsid w:val="00243D97"/>
    <w:rsid w:val="00252C05"/>
    <w:rsid w:val="002654DC"/>
    <w:rsid w:val="00271997"/>
    <w:rsid w:val="00291C20"/>
    <w:rsid w:val="002A6D70"/>
    <w:rsid w:val="002D3B66"/>
    <w:rsid w:val="002E1436"/>
    <w:rsid w:val="002E4BC3"/>
    <w:rsid w:val="002E7537"/>
    <w:rsid w:val="00324E6A"/>
    <w:rsid w:val="00346091"/>
    <w:rsid w:val="0036145E"/>
    <w:rsid w:val="0037595E"/>
    <w:rsid w:val="00387D97"/>
    <w:rsid w:val="003B326F"/>
    <w:rsid w:val="003C21B4"/>
    <w:rsid w:val="003D3CC7"/>
    <w:rsid w:val="003F079F"/>
    <w:rsid w:val="00425ABE"/>
    <w:rsid w:val="00444C2D"/>
    <w:rsid w:val="00453DC5"/>
    <w:rsid w:val="004557A2"/>
    <w:rsid w:val="004621D0"/>
    <w:rsid w:val="00474899"/>
    <w:rsid w:val="004870CF"/>
    <w:rsid w:val="00492186"/>
    <w:rsid w:val="004B03E4"/>
    <w:rsid w:val="004D151D"/>
    <w:rsid w:val="00554414"/>
    <w:rsid w:val="005807C2"/>
    <w:rsid w:val="005A1A32"/>
    <w:rsid w:val="005A4B8C"/>
    <w:rsid w:val="005A61B6"/>
    <w:rsid w:val="005A7E6D"/>
    <w:rsid w:val="005C1728"/>
    <w:rsid w:val="005D26D6"/>
    <w:rsid w:val="005D3FAE"/>
    <w:rsid w:val="006173CE"/>
    <w:rsid w:val="00617AEC"/>
    <w:rsid w:val="0064618A"/>
    <w:rsid w:val="0064634C"/>
    <w:rsid w:val="00667171"/>
    <w:rsid w:val="006806DC"/>
    <w:rsid w:val="006911DA"/>
    <w:rsid w:val="006954CC"/>
    <w:rsid w:val="00696624"/>
    <w:rsid w:val="006C357B"/>
    <w:rsid w:val="006C5DCB"/>
    <w:rsid w:val="006D097D"/>
    <w:rsid w:val="006D2472"/>
    <w:rsid w:val="00704EF0"/>
    <w:rsid w:val="0072091C"/>
    <w:rsid w:val="0074204D"/>
    <w:rsid w:val="00751FC7"/>
    <w:rsid w:val="007858D3"/>
    <w:rsid w:val="00795961"/>
    <w:rsid w:val="007969F9"/>
    <w:rsid w:val="00796ACB"/>
    <w:rsid w:val="007B5AF0"/>
    <w:rsid w:val="007D4CEA"/>
    <w:rsid w:val="007E1CAB"/>
    <w:rsid w:val="008246E0"/>
    <w:rsid w:val="00840D05"/>
    <w:rsid w:val="0084432D"/>
    <w:rsid w:val="00846E85"/>
    <w:rsid w:val="0085130C"/>
    <w:rsid w:val="0089319E"/>
    <w:rsid w:val="00893E79"/>
    <w:rsid w:val="008969CB"/>
    <w:rsid w:val="008A6B6E"/>
    <w:rsid w:val="008B1761"/>
    <w:rsid w:val="008B4313"/>
    <w:rsid w:val="008C064B"/>
    <w:rsid w:val="008C1588"/>
    <w:rsid w:val="008E2A33"/>
    <w:rsid w:val="008F1162"/>
    <w:rsid w:val="009232D7"/>
    <w:rsid w:val="00955613"/>
    <w:rsid w:val="0096296F"/>
    <w:rsid w:val="00972CA4"/>
    <w:rsid w:val="009973A8"/>
    <w:rsid w:val="009A30AA"/>
    <w:rsid w:val="009A37F5"/>
    <w:rsid w:val="009B03F8"/>
    <w:rsid w:val="00A06436"/>
    <w:rsid w:val="00A319C1"/>
    <w:rsid w:val="00A3322C"/>
    <w:rsid w:val="00A5042E"/>
    <w:rsid w:val="00A84DF5"/>
    <w:rsid w:val="00A8686A"/>
    <w:rsid w:val="00A9249B"/>
    <w:rsid w:val="00A93587"/>
    <w:rsid w:val="00AB7D89"/>
    <w:rsid w:val="00AD050E"/>
    <w:rsid w:val="00AD2517"/>
    <w:rsid w:val="00AE381C"/>
    <w:rsid w:val="00B131AB"/>
    <w:rsid w:val="00B46AB9"/>
    <w:rsid w:val="00B63B7B"/>
    <w:rsid w:val="00B67C48"/>
    <w:rsid w:val="00B83779"/>
    <w:rsid w:val="00B85FDD"/>
    <w:rsid w:val="00BB0991"/>
    <w:rsid w:val="00BB1B23"/>
    <w:rsid w:val="00BB674E"/>
    <w:rsid w:val="00BB7B8B"/>
    <w:rsid w:val="00BC7BE7"/>
    <w:rsid w:val="00BF3C19"/>
    <w:rsid w:val="00C059BD"/>
    <w:rsid w:val="00C2213A"/>
    <w:rsid w:val="00C25906"/>
    <w:rsid w:val="00C36169"/>
    <w:rsid w:val="00C37892"/>
    <w:rsid w:val="00CA1DDE"/>
    <w:rsid w:val="00CC7377"/>
    <w:rsid w:val="00CD65B0"/>
    <w:rsid w:val="00CE6E5C"/>
    <w:rsid w:val="00D17D5D"/>
    <w:rsid w:val="00D26AAA"/>
    <w:rsid w:val="00D36FE3"/>
    <w:rsid w:val="00D50DA0"/>
    <w:rsid w:val="00D6042F"/>
    <w:rsid w:val="00DB34EB"/>
    <w:rsid w:val="00DC663E"/>
    <w:rsid w:val="00DF72A8"/>
    <w:rsid w:val="00E173FF"/>
    <w:rsid w:val="00E32BF8"/>
    <w:rsid w:val="00E370F5"/>
    <w:rsid w:val="00E37D97"/>
    <w:rsid w:val="00E9428F"/>
    <w:rsid w:val="00EB1255"/>
    <w:rsid w:val="00EB528C"/>
    <w:rsid w:val="00EC46E0"/>
    <w:rsid w:val="00EE40F5"/>
    <w:rsid w:val="00F0413D"/>
    <w:rsid w:val="00F27809"/>
    <w:rsid w:val="00F462B1"/>
    <w:rsid w:val="00F63AA4"/>
    <w:rsid w:val="00F67B78"/>
    <w:rsid w:val="00F71821"/>
    <w:rsid w:val="00F86795"/>
    <w:rsid w:val="00FA5998"/>
    <w:rsid w:val="00FC26B3"/>
    <w:rsid w:val="00FD3F9B"/>
    <w:rsid w:val="00FF68E0"/>
    <w:rsid w:val="00FF75E1"/>
    <w:rsid w:val="08390A47"/>
    <w:rsid w:val="218302B9"/>
    <w:rsid w:val="21DF12E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page number"/>
    <w:uiPriority w:val="0"/>
    <w:rPr>
      <w:rFonts w:cs="Times New Roman"/>
    </w:rPr>
  </w:style>
  <w:style w:type="character" w:customStyle="1" w:styleId="8">
    <w:name w:val="页眉 Char"/>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A9BD5-2D1E-4259-A839-8F17E7D4ABED}">
  <ds:schemaRefs/>
</ds:datastoreItem>
</file>

<file path=docProps/app.xml><?xml version="1.0" encoding="utf-8"?>
<Properties xmlns="http://schemas.openxmlformats.org/officeDocument/2006/extended-properties" xmlns:vt="http://schemas.openxmlformats.org/officeDocument/2006/docPropsVTypes">
  <Template>Normal</Template>
  <Pages>14</Pages>
  <Words>936</Words>
  <Characters>5341</Characters>
  <Lines>44</Lines>
  <Paragraphs>12</Paragraphs>
  <ScaleCrop>false</ScaleCrop>
  <LinksUpToDate>false</LinksUpToDate>
  <CharactersWithSpaces>6265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2016-10-08T01:52:00Z</dcterms:created>
  <dc:creator>z</dc:creator>
  <cp:lastModifiedBy>gjy</cp:lastModifiedBy>
  <cp:lastPrinted>2016-09-30T06:30:00Z</cp:lastPrinted>
  <dcterms:modified xsi:type="dcterms:W3CDTF">2016-10-28T02:09:08Z</dcterms:modified>
  <dc:title>资产评估准则——企业价值</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