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Ansi="华文中宋" w:cs="华文中宋"/>
          <w:color w:val="000000"/>
          <w:sz w:val="44"/>
          <w:szCs w:val="44"/>
        </w:rPr>
      </w:pPr>
      <w:r>
        <w:rPr>
          <w:rFonts w:hint="eastAsia" w:hAnsi="华文中宋" w:cs="华文中宋"/>
          <w:color w:val="000000"/>
          <w:sz w:val="44"/>
          <w:szCs w:val="44"/>
        </w:rPr>
        <w:t>资产评估准则</w:t>
      </w:r>
      <w:r>
        <w:rPr>
          <w:rFonts w:hAnsi="华文中宋" w:cs="华文中宋"/>
          <w:color w:val="000000"/>
          <w:sz w:val="44"/>
          <w:szCs w:val="44"/>
        </w:rPr>
        <w:t>—</w:t>
      </w:r>
      <w:r>
        <w:rPr>
          <w:rFonts w:hint="eastAsia" w:hAnsi="华文中宋" w:cs="华文中宋"/>
          <w:color w:val="000000"/>
          <w:sz w:val="44"/>
          <w:szCs w:val="44"/>
        </w:rPr>
        <w:t>珠宝首饰</w:t>
      </w:r>
    </w:p>
    <w:p>
      <w:pPr>
        <w:snapToGrid w:val="0"/>
        <w:spacing w:line="360" w:lineRule="auto"/>
        <w:jc w:val="center"/>
        <w:rPr>
          <w:rFonts w:hAnsi="华文中宋"/>
          <w:b/>
          <w:sz w:val="32"/>
          <w:szCs w:val="32"/>
        </w:rPr>
      </w:pPr>
      <w:r>
        <w:rPr>
          <w:rFonts w:hint="eastAsia" w:hAnsi="华文中宋"/>
          <w:b/>
          <w:sz w:val="32"/>
          <w:szCs w:val="32"/>
        </w:rPr>
        <w:t>（</w:t>
      </w:r>
      <w:bookmarkStart w:id="0" w:name="_GoBack"/>
      <w:bookmarkEnd w:id="0"/>
      <w:r>
        <w:rPr>
          <w:rFonts w:hint="eastAsia" w:hAnsi="华文中宋"/>
          <w:b/>
          <w:sz w:val="32"/>
          <w:szCs w:val="32"/>
        </w:rPr>
        <w:t>修订征求意见稿）</w:t>
      </w:r>
    </w:p>
    <w:p>
      <w:pPr>
        <w:spacing w:before="300" w:after="300" w:line="360" w:lineRule="auto"/>
        <w:jc w:val="center"/>
        <w:rPr>
          <w:rFonts w:ascii="宋体" w:hAnsi="宋体" w:eastAsia="宋体" w:cs="华文中宋"/>
          <w:b/>
          <w:color w:val="000000"/>
          <w:sz w:val="30"/>
          <w:szCs w:val="30"/>
        </w:rPr>
      </w:pPr>
      <w:r>
        <w:rPr>
          <w:rFonts w:hint="eastAsia" w:ascii="宋体" w:hAnsi="宋体" w:eastAsia="宋体" w:cs="华文中宋"/>
          <w:b/>
          <w:color w:val="000000"/>
          <w:sz w:val="30"/>
          <w:szCs w:val="30"/>
        </w:rPr>
        <w:t>第一章</w:t>
      </w:r>
      <w:r>
        <w:rPr>
          <w:rFonts w:ascii="宋体" w:hAnsi="宋体" w:eastAsia="宋体" w:cs="华文中宋"/>
          <w:b/>
          <w:color w:val="000000"/>
          <w:sz w:val="30"/>
          <w:szCs w:val="30"/>
        </w:rPr>
        <w:t xml:space="preserve"> </w:t>
      </w:r>
      <w:r>
        <w:rPr>
          <w:rFonts w:hint="eastAsia" w:ascii="宋体" w:hAnsi="宋体" w:eastAsia="宋体" w:cs="华文中宋"/>
          <w:b/>
          <w:color w:val="000000"/>
          <w:sz w:val="30"/>
          <w:szCs w:val="30"/>
        </w:rPr>
        <w:t>总</w:t>
      </w:r>
      <w:r>
        <w:rPr>
          <w:rFonts w:ascii="宋体" w:hAnsi="宋体" w:eastAsia="宋体" w:cs="华文中宋"/>
          <w:b/>
          <w:color w:val="000000"/>
          <w:sz w:val="30"/>
          <w:szCs w:val="30"/>
        </w:rPr>
        <w:t xml:space="preserve"> </w:t>
      </w:r>
      <w:r>
        <w:rPr>
          <w:rFonts w:hint="eastAsia" w:ascii="宋体" w:hAnsi="宋体" w:eastAsia="宋体" w:cs="华文中宋"/>
          <w:b/>
          <w:color w:val="000000"/>
          <w:sz w:val="30"/>
          <w:szCs w:val="30"/>
        </w:rPr>
        <w:t>则</w:t>
      </w:r>
      <w:r>
        <w:rPr>
          <w:rFonts w:ascii="宋体" w:hAnsi="宋体" w:eastAsia="宋体" w:cs="华文中宋"/>
          <w:b/>
          <w:color w:val="000000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第一条</w:t>
      </w:r>
      <w:r>
        <w:rPr>
          <w:rFonts w:ascii="宋体" w:hAnsi="宋体" w:eastAsia="宋体"/>
          <w:kern w:val="2"/>
          <w:sz w:val="30"/>
          <w:szCs w:val="30"/>
        </w:rPr>
        <w:t xml:space="preserve">  </w:t>
      </w:r>
      <w:r>
        <w:rPr>
          <w:rFonts w:hint="eastAsia" w:ascii="宋体" w:hAnsi="宋体" w:eastAsia="宋体"/>
          <w:kern w:val="2"/>
          <w:sz w:val="30"/>
          <w:szCs w:val="30"/>
        </w:rPr>
        <w:t>为规范执行珠宝首饰评估业务，保护资产评估当事人合法权益和公共利益，根据《中华人民共和国资产评估法》《资产评估准则——基本准则》，制定本准则。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第二条</w:t>
      </w:r>
      <w:r>
        <w:rPr>
          <w:rFonts w:ascii="宋体" w:hAnsi="宋体" w:eastAsia="宋体"/>
          <w:kern w:val="2"/>
          <w:sz w:val="30"/>
          <w:szCs w:val="30"/>
        </w:rPr>
        <w:t xml:space="preserve">  </w:t>
      </w:r>
      <w:r>
        <w:rPr>
          <w:rFonts w:hint="eastAsia" w:ascii="宋体" w:hAnsi="宋体" w:eastAsia="宋体"/>
          <w:kern w:val="2"/>
          <w:sz w:val="30"/>
          <w:szCs w:val="30"/>
        </w:rPr>
        <w:t>本准则所称珠宝首饰，是指珠宝玉石和</w:t>
      </w:r>
      <w:r>
        <w:rPr>
          <w:rFonts w:ascii="宋体" w:hAnsi="宋体" w:eastAsia="宋体"/>
          <w:kern w:val="2"/>
          <w:sz w:val="30"/>
          <w:szCs w:val="30"/>
        </w:rPr>
        <w:t>/</w:t>
      </w:r>
      <w:r>
        <w:rPr>
          <w:rFonts w:hint="eastAsia" w:ascii="宋体" w:hAnsi="宋体" w:eastAsia="宋体"/>
          <w:kern w:val="2"/>
          <w:sz w:val="30"/>
          <w:szCs w:val="30"/>
        </w:rPr>
        <w:t>或用于饰品制作的贵金属的原料、半成品及其制成品。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第三条</w:t>
      </w:r>
      <w:r>
        <w:rPr>
          <w:rFonts w:ascii="宋体" w:hAnsi="宋体" w:eastAsia="宋体"/>
          <w:kern w:val="2"/>
          <w:sz w:val="30"/>
          <w:szCs w:val="30"/>
        </w:rPr>
        <w:t xml:space="preserve">  </w:t>
      </w:r>
      <w:r>
        <w:rPr>
          <w:rFonts w:hint="eastAsia" w:ascii="宋体" w:hAnsi="宋体" w:eastAsia="宋体"/>
          <w:kern w:val="2"/>
          <w:sz w:val="30"/>
          <w:szCs w:val="30"/>
        </w:rPr>
        <w:t>本准则所称珠宝首饰评估，是指资产评估机构、资产评估师（珠宝）和其他资产评估（珠宝）专业人员依据相关法律、法规和资产评估准则以及有关珠宝首饰的国家标准，在对珠宝首饰进行鉴定分级分析的基础上，根据委托对在评估基准日特定目的下的珠宝首饰价值进行评定、估算，并出具评估报告的专业服务行为。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涉及珠宝首饰的著作权等无形资产价值评估，需要按照相关准则要求执行。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第四条</w:t>
      </w:r>
      <w:r>
        <w:rPr>
          <w:rFonts w:ascii="宋体" w:hAnsi="宋体" w:eastAsia="宋体"/>
          <w:kern w:val="2"/>
          <w:sz w:val="30"/>
          <w:szCs w:val="30"/>
        </w:rPr>
        <w:t xml:space="preserve"> 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执行珠宝首饰评估业务，应当遵守本准则。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2" w:firstLineChars="200"/>
        <w:jc w:val="both"/>
        <w:rPr>
          <w:rFonts w:ascii="宋体" w:hAnsi="宋体" w:eastAsia="宋体"/>
          <w:b/>
          <w:sz w:val="30"/>
          <w:szCs w:val="30"/>
        </w:rPr>
      </w:pPr>
    </w:p>
    <w:p>
      <w:pPr>
        <w:autoSpaceDE/>
        <w:autoSpaceDN/>
        <w:adjustRightInd/>
        <w:spacing w:line="360" w:lineRule="auto"/>
        <w:ind w:firstLine="602" w:firstLineChars="200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第二章</w:t>
      </w:r>
      <w:r>
        <w:rPr>
          <w:rFonts w:ascii="宋体" w:hAnsi="宋体" w:eastAsia="宋体"/>
          <w:b/>
          <w:sz w:val="30"/>
          <w:szCs w:val="30"/>
        </w:rPr>
        <w:t xml:space="preserve">  </w:t>
      </w:r>
      <w:r>
        <w:rPr>
          <w:rFonts w:hint="eastAsia" w:ascii="宋体" w:hAnsi="宋体" w:eastAsia="宋体"/>
          <w:b/>
          <w:sz w:val="30"/>
          <w:szCs w:val="30"/>
        </w:rPr>
        <w:t>基本要求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第五条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珠宝首饰</w:t>
      </w:r>
      <w:r>
        <w:rPr>
          <w:rFonts w:ascii="宋体" w:hAnsi="宋体" w:eastAsia="宋体"/>
          <w:kern w:val="2"/>
          <w:sz w:val="30"/>
          <w:szCs w:val="30"/>
        </w:rPr>
        <w:t>评估报告应当由至少两名承办该项业务的资产评估师</w:t>
      </w:r>
      <w:r>
        <w:rPr>
          <w:rFonts w:hint="eastAsia" w:ascii="宋体" w:hAnsi="宋体" w:eastAsia="宋体"/>
          <w:kern w:val="2"/>
          <w:sz w:val="30"/>
          <w:szCs w:val="30"/>
        </w:rPr>
        <w:t>（珠宝）或</w:t>
      </w:r>
      <w:r>
        <w:rPr>
          <w:rFonts w:ascii="宋体" w:hAnsi="宋体" w:eastAsia="宋体"/>
          <w:kern w:val="2"/>
          <w:sz w:val="30"/>
          <w:szCs w:val="30"/>
        </w:rPr>
        <w:t>其他资产评估（珠宝）专业人员签名并加盖资产评估机构印章。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法定评估业务，评估报告应当由至少两名承办该项业务的资产评估师（珠宝）签名并加盖资产评估机构印章。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第六条 执行珠宝首饰评估业务，应当具备珠宝首饰评估的专业知识及实践经验，能够胜任所执行的评估业务。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当缺乏执行某项特定业务所需的相关专业知识和经验时，可以聘请相关专家协助工作。聘请专家及引用专业报告，应当遵守《资产评估准则</w:t>
      </w:r>
      <w:r>
        <w:rPr>
          <w:rFonts w:ascii="宋体" w:hAnsi="宋体" w:eastAsia="宋体"/>
          <w:kern w:val="2"/>
          <w:sz w:val="30"/>
          <w:szCs w:val="30"/>
        </w:rPr>
        <w:t xml:space="preserve">-利用专家工作》的相关规定。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第七条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恪守独立、客观、公正的原则，保持应有的职业谨慎，不受委托人或相关当事人的非法干预，独立进行分析、估算并形成专业意见，不得出现对评估结果具有重要影响的实质性疏漏或重大错误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pStyle w:val="2"/>
        <w:spacing w:before="300" w:after="300" w:line="360" w:lineRule="auto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第三章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操作要求</w:t>
      </w:r>
      <w:r>
        <w:rPr>
          <w:rFonts w:ascii="宋体" w:hAnsi="宋体" w:eastAsia="宋体"/>
          <w:b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第八条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执行珠宝首饰评估业务，应当明确评估对象、评估范围、评估目的、评估基准日、价值类型和评估报告使用人。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第九条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执行珠宝首饰评估业务，应当依据《资产评估准则</w:t>
      </w:r>
      <w:r>
        <w:rPr>
          <w:rFonts w:ascii="宋体" w:hAnsi="宋体" w:eastAsia="宋体"/>
          <w:kern w:val="2"/>
          <w:sz w:val="30"/>
          <w:szCs w:val="30"/>
        </w:rPr>
        <w:t>——</w:t>
      </w:r>
      <w:r>
        <w:rPr>
          <w:rFonts w:hint="eastAsia" w:ascii="宋体" w:hAnsi="宋体" w:eastAsia="宋体"/>
          <w:kern w:val="2"/>
          <w:sz w:val="30"/>
          <w:szCs w:val="30"/>
        </w:rPr>
        <w:t>评估程序》，履行基本评估程序，结合珠宝首饰评估业务的具体情况，制定并实施适当的具体评估步骤。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第十条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执行珠宝首饰评估业务，应当对珠宝首饰进行实物确认，明确珠宝首饰的存在状态。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第十一条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执行珠宝首饰评估业务，应当关注评估对象的权属，要求委托人或者相关当事人对珠宝首饰的权属做出承诺，并应对珠宝首饰的权属相关资料进行必要查验。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第十二条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对珠宝首饰进行鉴定和品质分级。在对评估对象进行鉴定分级时，应当采用相应的国家标准及行业标准。如果没有相应的国家及行业分级标准，可以采用国内外珠宝业通用的分级体系，并在评估报告中明确说明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资产评估师（珠宝）和其他资产评估（珠宝）专业人员可以采用具有资质的珠宝质检机构出具的鉴定分级结论，并按照《资产评估准则</w:t>
      </w:r>
      <w:r>
        <w:rPr>
          <w:rFonts w:ascii="宋体" w:hAnsi="宋体" w:eastAsia="宋体"/>
          <w:kern w:val="2"/>
          <w:sz w:val="30"/>
          <w:szCs w:val="30"/>
        </w:rPr>
        <w:t>-</w:t>
      </w:r>
      <w:r>
        <w:rPr>
          <w:rFonts w:hint="eastAsia" w:ascii="宋体" w:hAnsi="宋体" w:eastAsia="宋体"/>
          <w:kern w:val="2"/>
          <w:sz w:val="30"/>
          <w:szCs w:val="30"/>
        </w:rPr>
        <w:t>利用专家工作》要求执行。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第十三条</w:t>
      </w:r>
      <w:r>
        <w:rPr>
          <w:rFonts w:ascii="宋体" w:hAnsi="宋体" w:eastAsia="宋体"/>
          <w:kern w:val="2"/>
          <w:sz w:val="30"/>
          <w:szCs w:val="30"/>
        </w:rPr>
        <w:t xml:space="preserve"> 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执行珠宝首饰评估业务，应当知晓同一珠宝首饰在不同市场的价值可能存在差异，并根据评估对象的具体情况确定适当的市场级别。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第十四条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执行珠宝首饰评估业务，应当通过恰当的方式获得珠宝首饰的市场信息及其他相关信息，并对其真实性、可靠性进行必要的判断。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第十五条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执行珠宝首饰评估业务，应当根据评估对象的具体情况，合理选择收集信息的内容。通常关注以下方面：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（一）评估对象的历史、现状及相关证明资料；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（二）评估对象以往的评估及交易情况；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（三）相同或者类似珠宝首饰的市场价格信息及交易情况；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（四）评估对象的市场供求关系、稀缺程度及市场前景等；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（五）可能影响珠宝首饰价值的宏观经济状况；</w:t>
      </w:r>
      <w:r>
        <w:rPr>
          <w:rFonts w:ascii="宋体" w:hAnsi="宋体" w:eastAsia="宋体"/>
          <w:kern w:val="2"/>
          <w:sz w:val="30"/>
          <w:szCs w:val="30"/>
        </w:rPr>
        <w:t xml:space="preserve"> 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（六）其他相关信息资料。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第十六条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执行珠宝首饰评估业务，应当考虑珠宝首饰的品质因素及其他因素对评估对象价值的影响，如来源（出处）、历史、名人拥有、名师制作、品牌、稀缺程度等。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第十七条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执行珠宝首饰评估业务，可以根据评估目的和珠宝首饰具体情况合理确定评估假设，并在评估报告中加以披露。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pStyle w:val="2"/>
        <w:spacing w:before="300" w:after="300" w:line="360" w:lineRule="auto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第四章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评估方法</w:t>
      </w:r>
      <w:r>
        <w:rPr>
          <w:rFonts w:ascii="宋体" w:hAnsi="宋体" w:eastAsia="宋体"/>
          <w:b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第十八条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执行珠宝首饰评估业务，应当根据评估目的、评估对象、价值类型、资料收集情况等相关条件，分析市场法、成本法和收益法三种资产评估基本方法的适用性，并恰当选择评估方法。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第十九条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使用市场法时，应当：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（一）明确是否存在公开、活跃的交易市场，是否能够获取足够数量的可比案例，并关注数据的可靠性；</w:t>
      </w:r>
      <w:r>
        <w:rPr>
          <w:rFonts w:ascii="宋体" w:hAnsi="宋体" w:eastAsia="宋体"/>
          <w:kern w:val="2"/>
          <w:sz w:val="30"/>
          <w:szCs w:val="30"/>
        </w:rPr>
        <w:t xml:space="preserve"> 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（二）收集评估对象以往的交易信息、相同或者类似珠宝首饰交易的市场信息；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（三）确定若干相同或者类似的珠宝首饰作为参照物，充分考虑其价值因素的可比性；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（四）根据评估对象的具体情况，确定可以作为评估依据的合适的交易市场；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（五）根据评估对象与参照物之间的区别，以及市场级别、市场交易条件等因素的差异，对相同或者类似珠宝首饰交易信息及相关资料进行分析调整。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第二十条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使用成本法时，应当：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（一）分析被评估的珠宝首饰是否可以复制、可以再生产等因素，考虑成本法的适用性；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（二）合理确定重置成本的构成要素，明确珠宝首饰的重置成本包括材料成本、制作成本、相关税费、合理利润及其他费用；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（三）恰当选择重置成本的类型，即复原重置成本和更新重置成本；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（四）合理确定实体性贬值、经济性贬值和功能性贬值。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第二十一条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使用收益法时，应当：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（一）明确珠宝首饰较少采用收益法进行评估。收益法通常只适用于租赁、展览等持续经营活动中，具有独立获利能力或者获利能力可以量化的珠宝首饰的评估业务；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（二）合理确定收益期限，合理预测未来收益；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（三）合理确定折现率；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（四）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分析租约等法律文件内容对被评估对象价值可能具有的影响。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第二十二条</w:t>
      </w:r>
      <w:r>
        <w:rPr>
          <w:rFonts w:ascii="宋体" w:hAnsi="宋体" w:eastAsia="宋体"/>
          <w:kern w:val="2"/>
          <w:sz w:val="30"/>
          <w:szCs w:val="30"/>
        </w:rPr>
        <w:t xml:space="preserve">  </w:t>
      </w:r>
      <w:r>
        <w:rPr>
          <w:rFonts w:hint="eastAsia" w:ascii="宋体" w:hAnsi="宋体" w:eastAsia="宋体"/>
          <w:kern w:val="2"/>
          <w:sz w:val="30"/>
          <w:szCs w:val="30"/>
        </w:rPr>
        <w:t>对同一珠宝首饰采用多种评估方法时，应当对所获得的各种初步评估结果进行分析，合理形成评估结果。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pStyle w:val="2"/>
        <w:spacing w:before="300" w:after="300" w:line="360" w:lineRule="auto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第五章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披露要求</w:t>
      </w:r>
      <w:r>
        <w:rPr>
          <w:rFonts w:ascii="宋体" w:hAnsi="宋体" w:eastAsia="宋体"/>
          <w:b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第二十三条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执行珠宝首饰评估业务，应当在履行必要的评估程序后，根据《资产评估准则——资产评估报告》编制评估报告，在评估报告中充分披露必要信息，使评估报告使用人能够合理理解评估结果。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第二十四条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编制珠宝首饰评估报告应当反映珠宝首饰评估的特点。通常包括以下内容：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（一）对评估对象的恰当描述，包括珠宝首饰的客观辨别特征和价值贡献特征。应当根据评估对象的特点和评估业务的具体情况，确定需要描述的内容，并突出描述影响价值结果的关键性特征。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（二）珠宝首饰评估的价值类型及其定义。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（三）评估程序实施过程的描述，应当反映对珠宝首饰的实物调查、市场调查、鉴定分级、评定估算等过程。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（四）珠宝首饰是否存在质押及其他限制情况。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第二十五条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评估报告应当披露直接影响评估结果的假设条件或者限制条件，并说明其对价值的影响。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第二十六条 编制珠宝首饰评估报告时，可以根据评估业务的性质合理确定评估报告的详略程度。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kern w:val="2"/>
          <w:sz w:val="30"/>
          <w:szCs w:val="30"/>
        </w:rPr>
      </w:pPr>
    </w:p>
    <w:p>
      <w:pPr>
        <w:pStyle w:val="2"/>
        <w:spacing w:before="300" w:after="300" w:line="360" w:lineRule="auto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第六章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附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hint="eastAsia" w:ascii="宋体" w:hAnsi="宋体" w:eastAsia="宋体"/>
          <w:b/>
          <w:sz w:val="30"/>
          <w:szCs w:val="30"/>
        </w:rPr>
        <w:t>则</w:t>
      </w:r>
      <w:r>
        <w:rPr>
          <w:rFonts w:ascii="宋体" w:hAnsi="宋体" w:eastAsia="宋体"/>
          <w:b/>
          <w:sz w:val="30"/>
          <w:szCs w:val="30"/>
        </w:rPr>
        <w:t xml:space="preserve"> </w:t>
      </w:r>
    </w:p>
    <w:p>
      <w:pPr>
        <w:autoSpaceDE/>
        <w:autoSpaceDN/>
        <w:adjustRightInd/>
        <w:spacing w:line="360" w:lineRule="auto"/>
        <w:ind w:firstLine="600" w:firstLineChars="200"/>
        <w:jc w:val="both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kern w:val="2"/>
          <w:sz w:val="30"/>
          <w:szCs w:val="30"/>
        </w:rPr>
        <w:t>第二十七条</w:t>
      </w:r>
      <w:r>
        <w:rPr>
          <w:rFonts w:ascii="宋体" w:hAnsi="宋体" w:eastAsia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/>
          <w:kern w:val="2"/>
          <w:sz w:val="30"/>
          <w:szCs w:val="30"/>
        </w:rPr>
        <w:t>本准则自</w:t>
      </w:r>
      <w:r>
        <w:rPr>
          <w:rFonts w:ascii="宋体" w:hAnsi="宋体" w:eastAsia="宋体"/>
          <w:kern w:val="2"/>
          <w:sz w:val="30"/>
          <w:szCs w:val="30"/>
        </w:rPr>
        <w:t xml:space="preserve">201  </w:t>
      </w:r>
      <w:r>
        <w:rPr>
          <w:rFonts w:hint="eastAsia" w:ascii="宋体" w:hAnsi="宋体" w:eastAsia="宋体"/>
          <w:kern w:val="2"/>
          <w:sz w:val="30"/>
          <w:szCs w:val="30"/>
        </w:rPr>
        <w:t>年</w:t>
      </w:r>
      <w:r>
        <w:rPr>
          <w:rFonts w:ascii="宋体" w:hAnsi="宋体" w:eastAsia="宋体"/>
          <w:kern w:val="2"/>
          <w:sz w:val="30"/>
          <w:szCs w:val="30"/>
        </w:rPr>
        <w:t xml:space="preserve">  </w:t>
      </w:r>
      <w:r>
        <w:rPr>
          <w:rFonts w:hint="eastAsia" w:ascii="宋体" w:hAnsi="宋体" w:eastAsia="宋体"/>
          <w:kern w:val="2"/>
          <w:sz w:val="30"/>
          <w:szCs w:val="30"/>
        </w:rPr>
        <w:t>月</w:t>
      </w:r>
      <w:r>
        <w:rPr>
          <w:rFonts w:ascii="宋体" w:hAnsi="宋体" w:eastAsia="宋体"/>
          <w:kern w:val="2"/>
          <w:sz w:val="30"/>
          <w:szCs w:val="30"/>
        </w:rPr>
        <w:t xml:space="preserve">  </w:t>
      </w:r>
      <w:r>
        <w:rPr>
          <w:rFonts w:hint="eastAsia" w:ascii="宋体" w:hAnsi="宋体" w:eastAsia="宋体"/>
          <w:kern w:val="2"/>
          <w:sz w:val="30"/>
          <w:szCs w:val="30"/>
        </w:rPr>
        <w:t>日起施行。</w:t>
      </w:r>
      <w:r>
        <w:rPr>
          <w:rFonts w:ascii="Times New Roman" w:hAnsi="宋体" w:eastAsia="宋体"/>
          <w:sz w:val="30"/>
          <w:szCs w:val="30"/>
        </w:rPr>
        <w:t xml:space="preserve"> </w:t>
      </w:r>
    </w:p>
    <w:sectPr>
      <w:pgSz w:w="11907" w:h="16840"/>
      <w:pgMar w:top="1888" w:right="1429" w:bottom="1151" w:left="170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44AD"/>
    <w:rsid w:val="00012A2B"/>
    <w:rsid w:val="00041D3A"/>
    <w:rsid w:val="0007126F"/>
    <w:rsid w:val="000F2A95"/>
    <w:rsid w:val="00106970"/>
    <w:rsid w:val="001151C7"/>
    <w:rsid w:val="00216FBD"/>
    <w:rsid w:val="00231FCB"/>
    <w:rsid w:val="00254DC4"/>
    <w:rsid w:val="00261FD2"/>
    <w:rsid w:val="00264E13"/>
    <w:rsid w:val="0029092D"/>
    <w:rsid w:val="002923CF"/>
    <w:rsid w:val="00295126"/>
    <w:rsid w:val="002C6CE5"/>
    <w:rsid w:val="00300840"/>
    <w:rsid w:val="00311EE2"/>
    <w:rsid w:val="0033317D"/>
    <w:rsid w:val="00335F93"/>
    <w:rsid w:val="003644A1"/>
    <w:rsid w:val="00365DA0"/>
    <w:rsid w:val="003757C6"/>
    <w:rsid w:val="00390F2E"/>
    <w:rsid w:val="00393A1E"/>
    <w:rsid w:val="003E4E23"/>
    <w:rsid w:val="003E7404"/>
    <w:rsid w:val="00411BF4"/>
    <w:rsid w:val="0046037E"/>
    <w:rsid w:val="004F1EE0"/>
    <w:rsid w:val="0051158D"/>
    <w:rsid w:val="00514202"/>
    <w:rsid w:val="0052750C"/>
    <w:rsid w:val="00534C5A"/>
    <w:rsid w:val="00572682"/>
    <w:rsid w:val="005956C2"/>
    <w:rsid w:val="005A6890"/>
    <w:rsid w:val="005B47D3"/>
    <w:rsid w:val="005C17A9"/>
    <w:rsid w:val="005C5AD5"/>
    <w:rsid w:val="005E0C25"/>
    <w:rsid w:val="005F548D"/>
    <w:rsid w:val="00603AFE"/>
    <w:rsid w:val="00653D73"/>
    <w:rsid w:val="006A353C"/>
    <w:rsid w:val="006C21AA"/>
    <w:rsid w:val="006C220E"/>
    <w:rsid w:val="00713FD4"/>
    <w:rsid w:val="00734D9C"/>
    <w:rsid w:val="0074679E"/>
    <w:rsid w:val="00761965"/>
    <w:rsid w:val="007B02F5"/>
    <w:rsid w:val="00852891"/>
    <w:rsid w:val="008B4EFB"/>
    <w:rsid w:val="008C5AE0"/>
    <w:rsid w:val="008F5CF2"/>
    <w:rsid w:val="00903DC5"/>
    <w:rsid w:val="0095013C"/>
    <w:rsid w:val="00963849"/>
    <w:rsid w:val="00983B0C"/>
    <w:rsid w:val="009C4128"/>
    <w:rsid w:val="009E1ABD"/>
    <w:rsid w:val="009F7868"/>
    <w:rsid w:val="00AC0423"/>
    <w:rsid w:val="00AC730A"/>
    <w:rsid w:val="00AF266B"/>
    <w:rsid w:val="00B15C6E"/>
    <w:rsid w:val="00B26B3B"/>
    <w:rsid w:val="00B3204D"/>
    <w:rsid w:val="00B32935"/>
    <w:rsid w:val="00B967C7"/>
    <w:rsid w:val="00C120CD"/>
    <w:rsid w:val="00C13B23"/>
    <w:rsid w:val="00C14223"/>
    <w:rsid w:val="00C144AD"/>
    <w:rsid w:val="00C432B4"/>
    <w:rsid w:val="00C5215B"/>
    <w:rsid w:val="00CB76D9"/>
    <w:rsid w:val="00CC670A"/>
    <w:rsid w:val="00D052E4"/>
    <w:rsid w:val="00D07055"/>
    <w:rsid w:val="00D372A2"/>
    <w:rsid w:val="00D42E59"/>
    <w:rsid w:val="00D670A1"/>
    <w:rsid w:val="00D76760"/>
    <w:rsid w:val="00D8206C"/>
    <w:rsid w:val="00D94862"/>
    <w:rsid w:val="00DA7E6E"/>
    <w:rsid w:val="00DC27D2"/>
    <w:rsid w:val="00DC77AA"/>
    <w:rsid w:val="00E06FC5"/>
    <w:rsid w:val="00E120DD"/>
    <w:rsid w:val="00E22ADD"/>
    <w:rsid w:val="00E2475A"/>
    <w:rsid w:val="00E44150"/>
    <w:rsid w:val="00E761A9"/>
    <w:rsid w:val="00E95016"/>
    <w:rsid w:val="00EC6FA0"/>
    <w:rsid w:val="00F153EA"/>
    <w:rsid w:val="00FA179C"/>
    <w:rsid w:val="00FA41DF"/>
    <w:rsid w:val="00FD5DE2"/>
    <w:rsid w:val="00FE35EB"/>
    <w:rsid w:val="6EC4029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华文中宋" w:hAnsi="等线" w:eastAsia="华文中宋" w:cs="Times New Roman"/>
      <w:sz w:val="24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iPriority w:val="0"/>
    <w:pPr>
      <w:widowControl w:val="0"/>
      <w:autoSpaceDE w:val="0"/>
      <w:autoSpaceDN w:val="0"/>
      <w:adjustRightInd w:val="0"/>
    </w:pPr>
    <w:rPr>
      <w:rFonts w:ascii="华文中宋" w:hAnsi="等线" w:eastAsia="华文中宋" w:cs="华文中宋"/>
      <w:color w:val="000000"/>
      <w:sz w:val="24"/>
      <w:szCs w:val="24"/>
      <w:lang w:val="en-US" w:eastAsia="zh-CN" w:bidi="ar-SA"/>
    </w:rPr>
  </w:style>
  <w:style w:type="paragraph" w:styleId="3">
    <w:name w:val="annotation subject"/>
    <w:basedOn w:val="4"/>
    <w:next w:val="4"/>
    <w:link w:val="16"/>
    <w:unhideWhenUsed/>
    <w:qFormat/>
    <w:uiPriority w:val="99"/>
    <w:rPr>
      <w:b/>
      <w:bCs/>
    </w:rPr>
  </w:style>
  <w:style w:type="paragraph" w:styleId="4">
    <w:name w:val="annotation text"/>
    <w:basedOn w:val="1"/>
    <w:link w:val="15"/>
    <w:unhideWhenUsed/>
    <w:uiPriority w:val="99"/>
  </w:style>
  <w:style w:type="paragraph" w:styleId="5">
    <w:name w:val="Balloon Text"/>
    <w:basedOn w:val="1"/>
    <w:link w:val="14"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autoSpaceDE/>
      <w:autoSpaceDN/>
      <w:adjustRightInd/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annotation reference"/>
    <w:unhideWhenUsed/>
    <w:uiPriority w:val="99"/>
    <w:rPr>
      <w:sz w:val="21"/>
      <w:szCs w:val="21"/>
    </w:rPr>
  </w:style>
  <w:style w:type="character" w:customStyle="1" w:styleId="12">
    <w:name w:val="页眉 Char"/>
    <w:link w:val="7"/>
    <w:locked/>
    <w:uiPriority w:val="99"/>
    <w:rPr>
      <w:rFonts w:ascii="华文中宋" w:eastAsia="华文中宋" w:cs="Times New Roman"/>
      <w:kern w:val="0"/>
      <w:sz w:val="18"/>
      <w:szCs w:val="18"/>
    </w:rPr>
  </w:style>
  <w:style w:type="character" w:customStyle="1" w:styleId="13">
    <w:name w:val="页脚 Char"/>
    <w:link w:val="6"/>
    <w:qFormat/>
    <w:locked/>
    <w:uiPriority w:val="99"/>
    <w:rPr>
      <w:rFonts w:ascii="华文中宋" w:eastAsia="华文中宋" w:cs="Times New Roman"/>
      <w:kern w:val="0"/>
      <w:sz w:val="18"/>
      <w:szCs w:val="18"/>
    </w:rPr>
  </w:style>
  <w:style w:type="character" w:customStyle="1" w:styleId="14">
    <w:name w:val="批注框文本 Char"/>
    <w:link w:val="5"/>
    <w:semiHidden/>
    <w:locked/>
    <w:uiPriority w:val="99"/>
    <w:rPr>
      <w:rFonts w:ascii="华文中宋" w:eastAsia="华文中宋" w:cs="Times New Roman"/>
      <w:kern w:val="0"/>
      <w:sz w:val="18"/>
      <w:szCs w:val="18"/>
    </w:rPr>
  </w:style>
  <w:style w:type="character" w:customStyle="1" w:styleId="15">
    <w:name w:val="批注文字 Char"/>
    <w:link w:val="4"/>
    <w:semiHidden/>
    <w:qFormat/>
    <w:uiPriority w:val="99"/>
    <w:rPr>
      <w:rFonts w:ascii="华文中宋" w:eastAsia="华文中宋"/>
      <w:sz w:val="24"/>
      <w:szCs w:val="24"/>
    </w:rPr>
  </w:style>
  <w:style w:type="character" w:customStyle="1" w:styleId="16">
    <w:name w:val="批注主题 Char"/>
    <w:link w:val="3"/>
    <w:semiHidden/>
    <w:qFormat/>
    <w:uiPriority w:val="99"/>
    <w:rPr>
      <w:rFonts w:ascii="华文中宋" w:eastAsia="华文中宋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420</Words>
  <Characters>2394</Characters>
  <Lines>19</Lines>
  <Paragraphs>5</Paragraphs>
  <TotalTime>0</TotalTime>
  <ScaleCrop>false</ScaleCrop>
  <LinksUpToDate>false</LinksUpToDate>
  <CharactersWithSpaces>2809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2016-10-08T10:57:00Z</dcterms:created>
  <dc:creator>王静</dc:creator>
  <cp:lastModifiedBy>gjy</cp:lastModifiedBy>
  <cp:lastPrinted>2016-09-30T08:47:00Z</cp:lastPrinted>
  <dcterms:modified xsi:type="dcterms:W3CDTF">2016-10-28T02:01:24Z</dcterms:modified>
  <dc:title>附件3：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