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ascii="宋体" w:hAnsi="宋体"/>
          <w:b/>
          <w:color w:val="000000"/>
          <w:sz w:val="44"/>
          <w:szCs w:val="44"/>
          <w:lang w:val="en-US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《资产评估准则—珠宝首饰》（</w:t>
      </w:r>
      <w:r>
        <w:rPr>
          <w:rFonts w:hint="eastAsia" w:ascii="华文中宋" w:hAnsi="华文中宋" w:eastAsia="华文中宋"/>
          <w:b/>
          <w:color w:val="000000"/>
          <w:sz w:val="44"/>
          <w:szCs w:val="44"/>
        </w:rPr>
        <w:t>修订征求意见稿</w:t>
      </w:r>
      <w:r>
        <w:rPr>
          <w:rFonts w:hint="eastAsia" w:ascii="宋体" w:hAnsi="宋体"/>
          <w:b/>
          <w:color w:val="000000"/>
          <w:sz w:val="44"/>
          <w:szCs w:val="44"/>
        </w:rPr>
        <w:t>）</w:t>
      </w:r>
      <w:r>
        <w:rPr>
          <w:rFonts w:hint="eastAsia" w:ascii="宋体" w:hAnsi="宋体"/>
          <w:b/>
          <w:color w:val="000000"/>
          <w:sz w:val="44"/>
          <w:szCs w:val="44"/>
          <w:lang w:val="en-US" w:eastAsia="zh-CN"/>
        </w:rPr>
        <w:t>主要修订内容介绍</w:t>
      </w:r>
    </w:p>
    <w:p>
      <w:pPr>
        <w:spacing w:line="480" w:lineRule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spacing w:line="480" w:lineRule="auto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一、整体修改的主要条款</w:t>
      </w:r>
    </w:p>
    <w:p>
      <w:p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原第六条中的“从事珠宝首饰评估业务的资产评估机构，应当具有财政部门颁发并在业务范围中标明“珠宝首饰艺术品评估”的资产评估资格证书。签署珠宝首饰评估报告的人员应当具有中国注册资产评估师（珠宝）证书。”整体修改为现第五条的“珠宝首饰评估报告应当由至少两名承办该项业务的资产评估师（珠宝）或其他资产评估（珠宝）专业人员签名并加盖资产评估机构印章。</w:t>
      </w:r>
    </w:p>
    <w:p>
      <w:p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法定评估业务，评估报告应当由至少两名承办该项业务的资产评估师（珠宝）签名并加盖资产评估机构印章。”</w:t>
      </w:r>
    </w:p>
    <w:p>
      <w:p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修改理由：考虑资质管理变化，删除机构资格证书要求；在目前仍有珠宝评估师考试情况下，根据基本准则要求修改报告签署人员要求。</w:t>
      </w:r>
    </w:p>
    <w:p>
      <w:p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原第七条“注册资产评估师（珠宝）执行珠宝首饰评估业务，应当遵守相关法律、法规、资产评估基本准则以及有关珠宝首饰的国家标准，并考虑其他评估准则的相关规定。”、第八条“注册资产评估师（珠宝）执行珠宝首饰评估业务，应当具备相应的专业胜任能力。当缺乏执行某项特定业务所需的相关专业知识和经验时，可以聘请相关专家协助工作，但是应当采取必要措施确信专家工作的合理性,并对专家的工作负责。”合并，修改为现第六条“执行珠宝首饰评估业务，应当具备珠宝首饰评估的专业知识及实践经验，能够胜任所执行的评估业务。</w:t>
      </w:r>
    </w:p>
    <w:p>
      <w:p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当缺乏执行某项特定业务所需的相关专业知识和经验时，可以聘请相关专家协助工作。聘请专家及引用专业报告，应当遵守《资产评估准则-利用专家工作》的相关规定。”</w:t>
      </w:r>
    </w:p>
    <w:p>
      <w:pPr>
        <w:spacing w:line="48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修改理由：关于评估师专业能力要求与基本准则保持一致；利用专家工作已有准则要求，不再单独列示。</w:t>
      </w:r>
    </w:p>
    <w:p>
      <w:pPr>
        <w:spacing w:line="48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480" w:lineRule="auto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二、部分修改的主要条款</w:t>
      </w:r>
    </w:p>
    <w:p>
      <w:p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原第十四条中的“注册资产评估师（珠宝）可以采用具有资质的珠宝质检机构出具的鉴定分级结论，但是应当对其结论进行验证。”修改为现第十二条的“资产评估师（珠宝）及其他资产评估（珠宝）专业人员可以采用具有资质的珠宝质检机构出具的鉴定分级结论，并</w:t>
      </w:r>
      <w:r>
        <w:rPr>
          <w:rFonts w:hint="eastAsia" w:ascii="仿宋" w:hAnsi="仿宋" w:eastAsia="仿宋" w:cs="仿宋"/>
          <w:b/>
          <w:sz w:val="32"/>
          <w:szCs w:val="32"/>
        </w:rPr>
        <w:t>按照《资产评估准则-利用专家工作》要求执行</w:t>
      </w:r>
      <w:r>
        <w:rPr>
          <w:rFonts w:hint="eastAsia" w:ascii="仿宋" w:hAnsi="仿宋" w:eastAsia="仿宋" w:cs="仿宋"/>
          <w:sz w:val="32"/>
          <w:szCs w:val="32"/>
        </w:rPr>
        <w:t>。”</w:t>
      </w:r>
    </w:p>
    <w:p>
      <w:p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修改理由：采用专业机构出具结论，应属于利用专家工作范畴，应按照《资产评估准则-利用专家工作》要求执行。</w:t>
      </w:r>
    </w:p>
    <w:p>
      <w:p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原第二十一条中的“（一）明确是否存在公开、活跃的交易市场，是否能够获取足够数量的可比销售数据，以及数据的可靠性；”修改为现第十九条的“（一）明确是否存在公开、活跃的交易市场，是否能够获取足够数量的可比</w:t>
      </w:r>
      <w:r>
        <w:rPr>
          <w:rFonts w:hint="eastAsia" w:ascii="仿宋" w:hAnsi="仿宋" w:eastAsia="仿宋" w:cs="仿宋"/>
          <w:b/>
          <w:sz w:val="32"/>
          <w:szCs w:val="32"/>
        </w:rPr>
        <w:t>案例</w:t>
      </w:r>
      <w:r>
        <w:rPr>
          <w:rFonts w:hint="eastAsia" w:ascii="仿宋" w:hAnsi="仿宋" w:eastAsia="仿宋" w:cs="仿宋"/>
          <w:sz w:val="32"/>
          <w:szCs w:val="32"/>
        </w:rPr>
        <w:t>，并</w:t>
      </w:r>
      <w:r>
        <w:rPr>
          <w:rFonts w:hint="eastAsia" w:ascii="仿宋" w:hAnsi="仿宋" w:eastAsia="仿宋" w:cs="仿宋"/>
          <w:b/>
          <w:sz w:val="32"/>
          <w:szCs w:val="32"/>
        </w:rPr>
        <w:t>关注</w:t>
      </w:r>
      <w:r>
        <w:rPr>
          <w:rFonts w:hint="eastAsia" w:ascii="仿宋" w:hAnsi="仿宋" w:eastAsia="仿宋" w:cs="仿宋"/>
          <w:sz w:val="32"/>
          <w:szCs w:val="32"/>
        </w:rPr>
        <w:t>数据的可靠性；”。</w:t>
      </w:r>
    </w:p>
    <w:p>
      <w:p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修改理由：应将"销售数据"修改为"案例"，比较准确；“明确数据可靠性”修改为“关注”数据的可靠性，更具有可操作性。</w:t>
      </w:r>
    </w:p>
    <w:p>
      <w:p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（三）原第二十六条中的“（三）评估程序实施过程的描述，应当反映对珠宝首饰的实物调查、鉴定分级等过程。”修改为现第二十四条的“（三）评估程序实施过程的描述，应当反映对珠宝首饰的实物调查、</w:t>
      </w:r>
      <w:r>
        <w:rPr>
          <w:rFonts w:hint="eastAsia" w:ascii="仿宋" w:hAnsi="仿宋" w:eastAsia="仿宋" w:cs="仿宋"/>
          <w:b/>
          <w:sz w:val="32"/>
          <w:szCs w:val="32"/>
        </w:rPr>
        <w:t>市场调查</w:t>
      </w:r>
      <w:r>
        <w:rPr>
          <w:rFonts w:hint="eastAsia" w:ascii="仿宋" w:hAnsi="仿宋" w:eastAsia="仿宋" w:cs="仿宋"/>
          <w:sz w:val="32"/>
          <w:szCs w:val="32"/>
        </w:rPr>
        <w:t>、鉴定分级、</w:t>
      </w:r>
      <w:r>
        <w:rPr>
          <w:rFonts w:hint="eastAsia" w:ascii="仿宋" w:hAnsi="仿宋" w:eastAsia="仿宋" w:cs="仿宋"/>
          <w:b/>
          <w:sz w:val="32"/>
          <w:szCs w:val="32"/>
        </w:rPr>
        <w:t>评定估算</w:t>
      </w:r>
      <w:r>
        <w:rPr>
          <w:rFonts w:hint="eastAsia" w:ascii="仿宋" w:hAnsi="仿宋" w:eastAsia="仿宋" w:cs="仿宋"/>
          <w:sz w:val="32"/>
          <w:szCs w:val="32"/>
        </w:rPr>
        <w:t>等过程。”。</w:t>
      </w:r>
    </w:p>
    <w:p>
      <w:p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修改理由：“市场调查”、“评定估算”对报告使用人来说，也属于比较重要的信息，便于报告使用者了解评估结论的形成过程，因此进行补充。</w:t>
      </w:r>
    </w:p>
    <w:p>
      <w:p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DA9"/>
    <w:rsid w:val="00011A43"/>
    <w:rsid w:val="000C6977"/>
    <w:rsid w:val="0013259F"/>
    <w:rsid w:val="00145136"/>
    <w:rsid w:val="0017597F"/>
    <w:rsid w:val="00197DA9"/>
    <w:rsid w:val="001B50D4"/>
    <w:rsid w:val="001C577D"/>
    <w:rsid w:val="001F4E76"/>
    <w:rsid w:val="002366B7"/>
    <w:rsid w:val="002425A8"/>
    <w:rsid w:val="00245AB1"/>
    <w:rsid w:val="0027234C"/>
    <w:rsid w:val="0028505A"/>
    <w:rsid w:val="002953DC"/>
    <w:rsid w:val="002E1DA0"/>
    <w:rsid w:val="00345E2F"/>
    <w:rsid w:val="003A7012"/>
    <w:rsid w:val="003B18D1"/>
    <w:rsid w:val="003B1A0D"/>
    <w:rsid w:val="003E31CF"/>
    <w:rsid w:val="003E37EB"/>
    <w:rsid w:val="003F240E"/>
    <w:rsid w:val="0040492C"/>
    <w:rsid w:val="00442430"/>
    <w:rsid w:val="004B2539"/>
    <w:rsid w:val="004D610E"/>
    <w:rsid w:val="00505591"/>
    <w:rsid w:val="005544DC"/>
    <w:rsid w:val="00586FE4"/>
    <w:rsid w:val="00592475"/>
    <w:rsid w:val="005A4CC2"/>
    <w:rsid w:val="005D5034"/>
    <w:rsid w:val="005E7C13"/>
    <w:rsid w:val="006056AF"/>
    <w:rsid w:val="006941BF"/>
    <w:rsid w:val="006A003F"/>
    <w:rsid w:val="006E048B"/>
    <w:rsid w:val="0075344B"/>
    <w:rsid w:val="00790199"/>
    <w:rsid w:val="007B11A7"/>
    <w:rsid w:val="007C5E0E"/>
    <w:rsid w:val="007E4B20"/>
    <w:rsid w:val="00804A31"/>
    <w:rsid w:val="008179B9"/>
    <w:rsid w:val="00832E8A"/>
    <w:rsid w:val="008937DE"/>
    <w:rsid w:val="008B35CF"/>
    <w:rsid w:val="008D747A"/>
    <w:rsid w:val="0094567E"/>
    <w:rsid w:val="00995BF7"/>
    <w:rsid w:val="009A0B64"/>
    <w:rsid w:val="009D4683"/>
    <w:rsid w:val="009E08CC"/>
    <w:rsid w:val="009E1084"/>
    <w:rsid w:val="009F6F41"/>
    <w:rsid w:val="00A13224"/>
    <w:rsid w:val="00A20AC2"/>
    <w:rsid w:val="00A2693F"/>
    <w:rsid w:val="00A37E4F"/>
    <w:rsid w:val="00A45623"/>
    <w:rsid w:val="00A766D1"/>
    <w:rsid w:val="00A8224F"/>
    <w:rsid w:val="00A97025"/>
    <w:rsid w:val="00AC78C8"/>
    <w:rsid w:val="00AD0466"/>
    <w:rsid w:val="00AD2FC0"/>
    <w:rsid w:val="00AE7C29"/>
    <w:rsid w:val="00B2631A"/>
    <w:rsid w:val="00B41D41"/>
    <w:rsid w:val="00B41DE1"/>
    <w:rsid w:val="00B45378"/>
    <w:rsid w:val="00B72F48"/>
    <w:rsid w:val="00B95C1F"/>
    <w:rsid w:val="00BD4CEE"/>
    <w:rsid w:val="00BF6164"/>
    <w:rsid w:val="00C43641"/>
    <w:rsid w:val="00C962D6"/>
    <w:rsid w:val="00CF1E56"/>
    <w:rsid w:val="00D10D98"/>
    <w:rsid w:val="00D1124E"/>
    <w:rsid w:val="00DC2FCA"/>
    <w:rsid w:val="00DE265D"/>
    <w:rsid w:val="00E21023"/>
    <w:rsid w:val="00E32B40"/>
    <w:rsid w:val="00E41A18"/>
    <w:rsid w:val="00E866B7"/>
    <w:rsid w:val="00EC1008"/>
    <w:rsid w:val="00EE1F7A"/>
    <w:rsid w:val="00F10C97"/>
    <w:rsid w:val="00F94864"/>
    <w:rsid w:val="00FD3DD1"/>
    <w:rsid w:val="00FE135E"/>
    <w:rsid w:val="00FF287D"/>
    <w:rsid w:val="014D1B1B"/>
    <w:rsid w:val="01587605"/>
    <w:rsid w:val="01724BC9"/>
    <w:rsid w:val="02106B61"/>
    <w:rsid w:val="02A7342D"/>
    <w:rsid w:val="02D31E68"/>
    <w:rsid w:val="03590D98"/>
    <w:rsid w:val="03F4046E"/>
    <w:rsid w:val="04A502BF"/>
    <w:rsid w:val="053F2ADE"/>
    <w:rsid w:val="054A590E"/>
    <w:rsid w:val="05541FD6"/>
    <w:rsid w:val="05A00170"/>
    <w:rsid w:val="069B6982"/>
    <w:rsid w:val="07DE5587"/>
    <w:rsid w:val="07E13A8D"/>
    <w:rsid w:val="08875AA8"/>
    <w:rsid w:val="08CC545E"/>
    <w:rsid w:val="09090BAC"/>
    <w:rsid w:val="09B51A32"/>
    <w:rsid w:val="0A387D89"/>
    <w:rsid w:val="0B716E6D"/>
    <w:rsid w:val="0C0A629C"/>
    <w:rsid w:val="0C2C6E59"/>
    <w:rsid w:val="0C491FBE"/>
    <w:rsid w:val="0C783895"/>
    <w:rsid w:val="0CC62F81"/>
    <w:rsid w:val="0D0641C8"/>
    <w:rsid w:val="0D941348"/>
    <w:rsid w:val="0DEE7FE3"/>
    <w:rsid w:val="0EF2207A"/>
    <w:rsid w:val="100C7D85"/>
    <w:rsid w:val="10551ABD"/>
    <w:rsid w:val="10607D70"/>
    <w:rsid w:val="11696D46"/>
    <w:rsid w:val="1208149D"/>
    <w:rsid w:val="121764BB"/>
    <w:rsid w:val="132B3F51"/>
    <w:rsid w:val="13337B33"/>
    <w:rsid w:val="1356688C"/>
    <w:rsid w:val="13844489"/>
    <w:rsid w:val="1448146E"/>
    <w:rsid w:val="15703732"/>
    <w:rsid w:val="15907D44"/>
    <w:rsid w:val="160D4DFE"/>
    <w:rsid w:val="161F4B27"/>
    <w:rsid w:val="16377F07"/>
    <w:rsid w:val="163F3253"/>
    <w:rsid w:val="165755EA"/>
    <w:rsid w:val="16E7609B"/>
    <w:rsid w:val="176F2E91"/>
    <w:rsid w:val="178F6EE1"/>
    <w:rsid w:val="17EA68B1"/>
    <w:rsid w:val="18ED5369"/>
    <w:rsid w:val="196A0DB4"/>
    <w:rsid w:val="19BC78A5"/>
    <w:rsid w:val="19C91EFD"/>
    <w:rsid w:val="1A771A1B"/>
    <w:rsid w:val="1AAE0B28"/>
    <w:rsid w:val="1AFB32CF"/>
    <w:rsid w:val="1B355B0B"/>
    <w:rsid w:val="1CB95B4E"/>
    <w:rsid w:val="1D0F0FA6"/>
    <w:rsid w:val="1D427CE7"/>
    <w:rsid w:val="1D6818EA"/>
    <w:rsid w:val="1DD37DB6"/>
    <w:rsid w:val="1DEC4830"/>
    <w:rsid w:val="1E665DD1"/>
    <w:rsid w:val="1ECB57F3"/>
    <w:rsid w:val="1ED90E64"/>
    <w:rsid w:val="1EFF6F78"/>
    <w:rsid w:val="1FCF4EDC"/>
    <w:rsid w:val="20434136"/>
    <w:rsid w:val="204B598E"/>
    <w:rsid w:val="2121304C"/>
    <w:rsid w:val="21DC0226"/>
    <w:rsid w:val="22241D27"/>
    <w:rsid w:val="23323679"/>
    <w:rsid w:val="239671E5"/>
    <w:rsid w:val="23A50A14"/>
    <w:rsid w:val="23DA04A9"/>
    <w:rsid w:val="241D61D7"/>
    <w:rsid w:val="24420AF6"/>
    <w:rsid w:val="244D185F"/>
    <w:rsid w:val="24AD42A0"/>
    <w:rsid w:val="262428FB"/>
    <w:rsid w:val="268D2C87"/>
    <w:rsid w:val="282F25B9"/>
    <w:rsid w:val="284112CE"/>
    <w:rsid w:val="286E1F48"/>
    <w:rsid w:val="288D5ED3"/>
    <w:rsid w:val="28FB56BA"/>
    <w:rsid w:val="2A041B1B"/>
    <w:rsid w:val="2A302EAE"/>
    <w:rsid w:val="2AA62BFB"/>
    <w:rsid w:val="2C117D94"/>
    <w:rsid w:val="2C515116"/>
    <w:rsid w:val="2D51633C"/>
    <w:rsid w:val="2D5C6F18"/>
    <w:rsid w:val="2D951CD7"/>
    <w:rsid w:val="2D9E06D1"/>
    <w:rsid w:val="2E1B40DA"/>
    <w:rsid w:val="2E841961"/>
    <w:rsid w:val="2F961B26"/>
    <w:rsid w:val="2FAC1D66"/>
    <w:rsid w:val="2FBF4B31"/>
    <w:rsid w:val="2FF0628E"/>
    <w:rsid w:val="30556A14"/>
    <w:rsid w:val="305B054C"/>
    <w:rsid w:val="305B0B19"/>
    <w:rsid w:val="30874FE6"/>
    <w:rsid w:val="30F35871"/>
    <w:rsid w:val="317B77AD"/>
    <w:rsid w:val="31E50C1D"/>
    <w:rsid w:val="331C0296"/>
    <w:rsid w:val="332630ED"/>
    <w:rsid w:val="336B13DE"/>
    <w:rsid w:val="33837B6A"/>
    <w:rsid w:val="33B56607"/>
    <w:rsid w:val="33C24A0F"/>
    <w:rsid w:val="34154E02"/>
    <w:rsid w:val="343765CD"/>
    <w:rsid w:val="349C1372"/>
    <w:rsid w:val="353458CC"/>
    <w:rsid w:val="358912FE"/>
    <w:rsid w:val="370825DA"/>
    <w:rsid w:val="38863F74"/>
    <w:rsid w:val="39DC65C0"/>
    <w:rsid w:val="3A3D502F"/>
    <w:rsid w:val="3A465815"/>
    <w:rsid w:val="3AA83EF3"/>
    <w:rsid w:val="3B4C36F6"/>
    <w:rsid w:val="3B5962B6"/>
    <w:rsid w:val="3D1E6312"/>
    <w:rsid w:val="3D7D41C2"/>
    <w:rsid w:val="3DCC23E1"/>
    <w:rsid w:val="3E81033E"/>
    <w:rsid w:val="3EFB0B05"/>
    <w:rsid w:val="3F6619DF"/>
    <w:rsid w:val="404F27B0"/>
    <w:rsid w:val="40637080"/>
    <w:rsid w:val="406F5F34"/>
    <w:rsid w:val="40761CFB"/>
    <w:rsid w:val="40A0433B"/>
    <w:rsid w:val="41470E54"/>
    <w:rsid w:val="41E95A89"/>
    <w:rsid w:val="421F3C62"/>
    <w:rsid w:val="42765D39"/>
    <w:rsid w:val="42D17B63"/>
    <w:rsid w:val="43067F2D"/>
    <w:rsid w:val="43480F1A"/>
    <w:rsid w:val="438E1E8C"/>
    <w:rsid w:val="43E67FBA"/>
    <w:rsid w:val="43E70341"/>
    <w:rsid w:val="43F61D1A"/>
    <w:rsid w:val="44DF1F42"/>
    <w:rsid w:val="44E54492"/>
    <w:rsid w:val="456E2D1E"/>
    <w:rsid w:val="46317218"/>
    <w:rsid w:val="467E2385"/>
    <w:rsid w:val="46A3521A"/>
    <w:rsid w:val="46DC73F6"/>
    <w:rsid w:val="474D1B5A"/>
    <w:rsid w:val="479E5861"/>
    <w:rsid w:val="47D01E76"/>
    <w:rsid w:val="488D6B47"/>
    <w:rsid w:val="48A3285B"/>
    <w:rsid w:val="4AAA6B59"/>
    <w:rsid w:val="4B2E7A5F"/>
    <w:rsid w:val="4B7E15FE"/>
    <w:rsid w:val="4B882D8A"/>
    <w:rsid w:val="4B9A122F"/>
    <w:rsid w:val="4BC47239"/>
    <w:rsid w:val="4C013CF0"/>
    <w:rsid w:val="4C144149"/>
    <w:rsid w:val="4CEA236C"/>
    <w:rsid w:val="4D8A4087"/>
    <w:rsid w:val="4DA75CFD"/>
    <w:rsid w:val="4E681793"/>
    <w:rsid w:val="4EC1452A"/>
    <w:rsid w:val="4EF16780"/>
    <w:rsid w:val="4FB51C5F"/>
    <w:rsid w:val="4FE43BF6"/>
    <w:rsid w:val="50B702E3"/>
    <w:rsid w:val="50D42923"/>
    <w:rsid w:val="51C47A59"/>
    <w:rsid w:val="51FF34DC"/>
    <w:rsid w:val="524E1490"/>
    <w:rsid w:val="52E973AC"/>
    <w:rsid w:val="53AE67F9"/>
    <w:rsid w:val="53B97701"/>
    <w:rsid w:val="549F6A14"/>
    <w:rsid w:val="54BD5EA5"/>
    <w:rsid w:val="54D1361A"/>
    <w:rsid w:val="54DE78C9"/>
    <w:rsid w:val="54EB0DB7"/>
    <w:rsid w:val="5516492B"/>
    <w:rsid w:val="552F223A"/>
    <w:rsid w:val="55792E3D"/>
    <w:rsid w:val="55810562"/>
    <w:rsid w:val="558877A6"/>
    <w:rsid w:val="55933FF1"/>
    <w:rsid w:val="559724F3"/>
    <w:rsid w:val="56932510"/>
    <w:rsid w:val="56BD41AC"/>
    <w:rsid w:val="56CE2B10"/>
    <w:rsid w:val="56F26D7A"/>
    <w:rsid w:val="572F289E"/>
    <w:rsid w:val="57952044"/>
    <w:rsid w:val="58124A68"/>
    <w:rsid w:val="58580761"/>
    <w:rsid w:val="587C0230"/>
    <w:rsid w:val="592D2D9D"/>
    <w:rsid w:val="59A831DE"/>
    <w:rsid w:val="59CE6E09"/>
    <w:rsid w:val="59E70E7F"/>
    <w:rsid w:val="59E82E64"/>
    <w:rsid w:val="5A52740B"/>
    <w:rsid w:val="5AAA45A9"/>
    <w:rsid w:val="5B280CAA"/>
    <w:rsid w:val="5CA32C0E"/>
    <w:rsid w:val="5CD71C3D"/>
    <w:rsid w:val="5D7C2E55"/>
    <w:rsid w:val="5D7F2D99"/>
    <w:rsid w:val="5E237770"/>
    <w:rsid w:val="5EEE5BEF"/>
    <w:rsid w:val="5F88611C"/>
    <w:rsid w:val="60344AA5"/>
    <w:rsid w:val="60B646B4"/>
    <w:rsid w:val="60C07345"/>
    <w:rsid w:val="61221F34"/>
    <w:rsid w:val="61292137"/>
    <w:rsid w:val="62C0582F"/>
    <w:rsid w:val="62F86C77"/>
    <w:rsid w:val="631F76AB"/>
    <w:rsid w:val="63346AD5"/>
    <w:rsid w:val="633D7CF4"/>
    <w:rsid w:val="63894425"/>
    <w:rsid w:val="63A076B5"/>
    <w:rsid w:val="63AA1D98"/>
    <w:rsid w:val="645858DC"/>
    <w:rsid w:val="6485430C"/>
    <w:rsid w:val="64876406"/>
    <w:rsid w:val="64B36AE7"/>
    <w:rsid w:val="65670AA1"/>
    <w:rsid w:val="658C7682"/>
    <w:rsid w:val="65A0692F"/>
    <w:rsid w:val="678656E7"/>
    <w:rsid w:val="67CF526D"/>
    <w:rsid w:val="683740DB"/>
    <w:rsid w:val="684E3A92"/>
    <w:rsid w:val="68C822E8"/>
    <w:rsid w:val="68D10A82"/>
    <w:rsid w:val="68EA483B"/>
    <w:rsid w:val="69300ADC"/>
    <w:rsid w:val="69C533C0"/>
    <w:rsid w:val="6ABB72BD"/>
    <w:rsid w:val="6B297B01"/>
    <w:rsid w:val="6C015C52"/>
    <w:rsid w:val="6C132929"/>
    <w:rsid w:val="6C1F7259"/>
    <w:rsid w:val="6C5E0E49"/>
    <w:rsid w:val="6C5F3F7F"/>
    <w:rsid w:val="6D181417"/>
    <w:rsid w:val="6D8B63A4"/>
    <w:rsid w:val="6D967950"/>
    <w:rsid w:val="6DF20A0C"/>
    <w:rsid w:val="6EEE3F1B"/>
    <w:rsid w:val="6F140B0F"/>
    <w:rsid w:val="6FE81BA0"/>
    <w:rsid w:val="70173E49"/>
    <w:rsid w:val="70CB37A1"/>
    <w:rsid w:val="70CB60D4"/>
    <w:rsid w:val="70CC0F13"/>
    <w:rsid w:val="70ED043D"/>
    <w:rsid w:val="70F127CA"/>
    <w:rsid w:val="71136029"/>
    <w:rsid w:val="716219FD"/>
    <w:rsid w:val="71A66E6F"/>
    <w:rsid w:val="71D849D2"/>
    <w:rsid w:val="720B0A7C"/>
    <w:rsid w:val="72D00FF4"/>
    <w:rsid w:val="733A728F"/>
    <w:rsid w:val="736173B5"/>
    <w:rsid w:val="73A906BB"/>
    <w:rsid w:val="73EF74E6"/>
    <w:rsid w:val="74826361"/>
    <w:rsid w:val="74862F09"/>
    <w:rsid w:val="74D73178"/>
    <w:rsid w:val="75115858"/>
    <w:rsid w:val="76193F1D"/>
    <w:rsid w:val="761C468D"/>
    <w:rsid w:val="76B36B09"/>
    <w:rsid w:val="777E3689"/>
    <w:rsid w:val="780040E5"/>
    <w:rsid w:val="781456CA"/>
    <w:rsid w:val="796467CA"/>
    <w:rsid w:val="798C272D"/>
    <w:rsid w:val="79B32A0C"/>
    <w:rsid w:val="79ED3C95"/>
    <w:rsid w:val="79FB7746"/>
    <w:rsid w:val="7A221B50"/>
    <w:rsid w:val="7A866268"/>
    <w:rsid w:val="7B0C323B"/>
    <w:rsid w:val="7B524B5B"/>
    <w:rsid w:val="7B8D07FD"/>
    <w:rsid w:val="7BAA147A"/>
    <w:rsid w:val="7BD2591C"/>
    <w:rsid w:val="7C4E30C0"/>
    <w:rsid w:val="7C871918"/>
    <w:rsid w:val="7D0B4E5A"/>
    <w:rsid w:val="7DC4395D"/>
    <w:rsid w:val="7DE41EB1"/>
    <w:rsid w:val="7E4F7ED1"/>
    <w:rsid w:val="7F107457"/>
    <w:rsid w:val="7F5D0F37"/>
    <w:rsid w:val="7F6B151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4"/>
    <w:unhideWhenUsed/>
    <w:qFormat/>
    <w:uiPriority w:val="99"/>
    <w:rPr>
      <w:b/>
      <w:bCs/>
    </w:rPr>
  </w:style>
  <w:style w:type="paragraph" w:styleId="3">
    <w:name w:val="annotation text"/>
    <w:basedOn w:val="1"/>
    <w:link w:val="13"/>
    <w:unhideWhenUsed/>
    <w:qFormat/>
    <w:uiPriority w:val="99"/>
    <w:pPr>
      <w:jc w:val="left"/>
    </w:pPr>
  </w:style>
  <w:style w:type="paragraph" w:styleId="4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7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字符"/>
    <w:basedOn w:val="7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批注文字 字符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4">
    <w:name w:val="批注主题 字符"/>
    <w:basedOn w:val="13"/>
    <w:link w:val="2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192</Words>
  <Characters>1097</Characters>
  <Lines>9</Lines>
  <Paragraphs>2</Paragraphs>
  <ScaleCrop>false</ScaleCrop>
  <LinksUpToDate>false</LinksUpToDate>
  <CharactersWithSpaces>1287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2016-10-11T01:42:00Z</dcterms:created>
  <dc:creator>wangchonghu</dc:creator>
  <cp:lastModifiedBy>gjy</cp:lastModifiedBy>
  <cp:lastPrinted>2016-10-25T03:20:00Z</cp:lastPrinted>
  <dcterms:modified xsi:type="dcterms:W3CDTF">2016-10-28T02:01:40Z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