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sz w:val="44"/>
          <w:szCs w:val="44"/>
          <w:lang w:val="en-US"/>
        </w:rPr>
      </w:pPr>
      <w:r>
        <w:rPr>
          <w:rFonts w:hint="eastAsia" w:ascii="宋体" w:hAnsi="宋体"/>
          <w:b/>
          <w:sz w:val="44"/>
          <w:szCs w:val="44"/>
        </w:rPr>
        <w:t>《注册资产评估师关注评估对象法律权属指导意见》（</w:t>
      </w:r>
      <w:r>
        <w:rPr>
          <w:rFonts w:hint="eastAsia" w:ascii="华文中宋" w:hAnsi="华文中宋" w:eastAsia="华文中宋"/>
          <w:b/>
          <w:sz w:val="44"/>
          <w:szCs w:val="44"/>
        </w:rPr>
        <w:t>修订征求意见稿</w:t>
      </w:r>
      <w:r>
        <w:rPr>
          <w:rFonts w:hint="eastAsia" w:ascii="宋体" w:hAnsi="宋体"/>
          <w:b/>
          <w:sz w:val="44"/>
          <w:szCs w:val="44"/>
        </w:rPr>
        <w:t>）</w:t>
      </w:r>
      <w:r>
        <w:rPr>
          <w:rFonts w:hint="eastAsia" w:ascii="宋体" w:hAnsi="宋体"/>
          <w:b/>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rPr>
          <w:rFonts w:ascii="仿宋" w:hAnsi="仿宋" w:eastAsia="仿宋" w:cs="仿宋"/>
          <w:sz w:val="32"/>
          <w:szCs w:val="32"/>
        </w:rPr>
      </w:pPr>
      <w:r>
        <w:rPr>
          <w:rFonts w:hint="eastAsia" w:ascii="仿宋" w:hAnsi="仿宋" w:eastAsia="仿宋" w:cs="仿宋"/>
          <w:sz w:val="32"/>
          <w:szCs w:val="32"/>
        </w:rPr>
        <w:t xml:space="preserve">   （一）原第四条“注册资产评估师应当知晓评估对象法律权属对评估结论有重大影响。注册资产评估师执行资产评估业务，应当关注评估对象法律权属并予以恰当披露。”修改为现第四条“评估对象法律权属对评估结果有重大影响，执行资产评估业务应当予以关注并恰当披露。”。</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修改理由：强调评估对象法律权属的重要性，同时对文字进行精简。</w:t>
      </w:r>
    </w:p>
    <w:p>
      <w:pPr>
        <w:spacing w:line="480" w:lineRule="auto"/>
        <w:rPr>
          <w:rFonts w:ascii="仿宋" w:hAnsi="仿宋" w:eastAsia="仿宋" w:cs="仿宋"/>
          <w:sz w:val="32"/>
          <w:szCs w:val="32"/>
        </w:rPr>
      </w:pPr>
      <w:r>
        <w:rPr>
          <w:rFonts w:hint="eastAsia" w:ascii="仿宋" w:hAnsi="仿宋" w:eastAsia="仿宋" w:cs="仿宋"/>
          <w:sz w:val="32"/>
          <w:szCs w:val="32"/>
        </w:rPr>
        <w:t xml:space="preserve">   （二）原第六条“注册资产评估师在接受业务委托前，有明确告知委托方及相关当事方提供真实、合法、完整评估对象法律权属等资料的义务，并在业务约定书中明确说明委托方和相关当事方对此应当承担的责任。”整体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修改理由：《中华人民共和国资产评估法》第二十三条已明确委托人的提供权属资料的责任，因此不再作为评估师的义务来强调。</w:t>
      </w:r>
    </w:p>
    <w:p>
      <w:pPr>
        <w:rPr>
          <w:rFonts w:ascii="仿宋" w:hAnsi="仿宋" w:eastAsia="仿宋" w:cs="仿宋"/>
          <w:sz w:val="32"/>
          <w:szCs w:val="32"/>
        </w:rPr>
      </w:pPr>
      <w:r>
        <w:rPr>
          <w:rFonts w:hint="eastAsia" w:ascii="仿宋" w:hAnsi="仿宋" w:eastAsia="仿宋" w:cs="仿宋"/>
          <w:sz w:val="32"/>
          <w:szCs w:val="32"/>
        </w:rPr>
        <w:t xml:space="preserve">    （三）原第八条“注册资产评估师</w:t>
      </w:r>
      <w:r>
        <w:rPr>
          <w:rFonts w:hint="eastAsia" w:ascii="仿宋" w:hAnsi="仿宋" w:eastAsia="仿宋" w:cs="仿宋"/>
          <w:b/>
          <w:sz w:val="32"/>
          <w:szCs w:val="32"/>
        </w:rPr>
        <w:t>明知</w:t>
      </w:r>
      <w:r>
        <w:rPr>
          <w:rFonts w:hint="eastAsia" w:ascii="仿宋" w:hAnsi="仿宋" w:eastAsia="仿宋" w:cs="仿宋"/>
          <w:sz w:val="32"/>
          <w:szCs w:val="32"/>
        </w:rPr>
        <w:t>委托方和相关当事方提供虚假评估对象法律权属资料，不得承接评估业务。”整体修改为现第七条“资产评估师</w:t>
      </w:r>
      <w:r>
        <w:rPr>
          <w:rFonts w:hint="eastAsia" w:ascii="仿宋" w:hAnsi="仿宋" w:eastAsia="仿宋" w:cs="仿宋"/>
          <w:sz w:val="32"/>
          <w:szCs w:val="32"/>
          <w:lang w:eastAsia="zh-CN"/>
        </w:rPr>
        <w:t>和其他资产评估专业人员</w:t>
      </w:r>
      <w:r>
        <w:rPr>
          <w:rFonts w:hint="eastAsia" w:ascii="仿宋" w:hAnsi="仿宋" w:eastAsia="仿宋" w:cs="仿宋"/>
          <w:b/>
          <w:sz w:val="32"/>
          <w:szCs w:val="32"/>
        </w:rPr>
        <w:t>发现</w:t>
      </w:r>
      <w:r>
        <w:rPr>
          <w:rFonts w:hint="eastAsia" w:ascii="仿宋" w:hAnsi="仿宋" w:eastAsia="仿宋" w:cs="仿宋"/>
          <w:sz w:val="32"/>
          <w:szCs w:val="32"/>
        </w:rPr>
        <w:t>委托人和相关当事人提供虚假的法律权属资料，或委托人和相关当事人拒绝或无法提供执行评估业务必要的权属证明，评估机构有权依法拒绝其履行合同的要求。”。</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修改理由：根据《中华人民共和国资产评估法》第十八条进行修改补充。同时将“明知”修改为“发现”，便于实务操作。</w:t>
      </w:r>
    </w:p>
    <w:p>
      <w:pPr>
        <w:ind w:firstLine="643" w:firstLineChars="200"/>
        <w:rPr>
          <w:rFonts w:ascii="仿宋" w:hAnsi="仿宋" w:eastAsia="仿宋" w:cs="仿宋"/>
          <w:sz w:val="32"/>
          <w:szCs w:val="32"/>
        </w:rPr>
      </w:pPr>
      <w:r>
        <w:rPr>
          <w:rFonts w:hint="eastAsia" w:ascii="仿宋" w:hAnsi="仿宋" w:eastAsia="仿宋" w:cs="仿宋"/>
          <w:sz w:val="32"/>
          <w:szCs w:val="32"/>
        </w:rPr>
        <w:t>（四）原第九条“注册资产评估师执行资产评估业务，应当对委托方和相关当事方提供的评估对象法律权属资料和资料来源进行必要的查验，并对查验情况予以披露，但不应超越执业范围明示或暗示承担验证评估对象法律权属资料真实性、合法性和完整性的责任。”</w:t>
      </w:r>
    </w:p>
    <w:p>
      <w:pPr>
        <w:ind w:firstLine="640" w:firstLineChars="200"/>
        <w:rPr>
          <w:rFonts w:ascii="仿宋" w:hAnsi="仿宋" w:eastAsia="仿宋" w:cs="仿宋"/>
          <w:sz w:val="32"/>
          <w:szCs w:val="32"/>
        </w:rPr>
      </w:pPr>
      <w:r>
        <w:rPr>
          <w:rFonts w:hint="eastAsia" w:ascii="仿宋" w:hAnsi="仿宋" w:eastAsia="仿宋" w:cs="仿宋"/>
          <w:sz w:val="32"/>
          <w:szCs w:val="32"/>
        </w:rPr>
        <w:t>整体修改为现第八条“执行资产评估业务，应当对委托人和相关当事人提供的评估对象法律权属资料进行必要的核查和验证，并对核查和验证情况予以披露。</w:t>
      </w:r>
    </w:p>
    <w:p>
      <w:pPr>
        <w:rPr>
          <w:rFonts w:ascii="仿宋" w:hAnsi="仿宋" w:eastAsia="仿宋" w:cs="仿宋"/>
          <w:sz w:val="32"/>
          <w:szCs w:val="32"/>
        </w:rPr>
      </w:pPr>
      <w:r>
        <w:rPr>
          <w:rFonts w:hint="eastAsia" w:ascii="仿宋" w:hAnsi="仿宋" w:eastAsia="仿宋" w:cs="仿宋"/>
          <w:sz w:val="32"/>
          <w:szCs w:val="32"/>
        </w:rPr>
        <w:t xml:space="preserve">    对评估对象法律权属资料核查和验证的方式通常包括核对原件与复印件的一致性、通过公开的信息渠道进行查询、到相关产权登记部门现场查询等。当评估对象是股权时，应当按照重要性原则，对相关资产的法律权属进行必要的核查验证。</w:t>
      </w:r>
    </w:p>
    <w:p>
      <w:pPr>
        <w:rPr>
          <w:rFonts w:ascii="仿宋" w:hAnsi="仿宋" w:eastAsia="仿宋" w:cs="仿宋"/>
          <w:sz w:val="32"/>
          <w:szCs w:val="32"/>
        </w:rPr>
      </w:pPr>
      <w:r>
        <w:rPr>
          <w:rFonts w:hint="eastAsia" w:ascii="仿宋" w:hAnsi="仿宋" w:eastAsia="仿宋" w:cs="仿宋"/>
          <w:sz w:val="32"/>
          <w:szCs w:val="32"/>
        </w:rPr>
        <w:t xml:space="preserve">    对超出评估专业人员能力的核查和验证事项，资产评估师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可以委托或要求委托人委托律师等相关机构出具专业意见。对于无法核查和验证的事项，可根据其对评估结果的影响程度采取在评估报告中披露等措施，直至终止执行评估业务。”。</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修改理由：从实务操作的角度补充了核查验证可以采用的方式及强调股权中考虑重要性原则；并参照其他专业操作经验，对超出评估人员能力的事项做相应指导。</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（五）原第十条“注册资产评估师应当在评估报告中明确说明评估师和委托方及相关当事方在评估对象法律权属方面的责任”整体删除。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修改理由：《中华人民共和国资产评估法》第二十三条、第二十五条已明确各方对评估对象法律权属方面的责任，因此不再赘述。</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十一条“注册资产评估师应当在评估报告中描述评估对象法律权属及其资料来源、查验情况，并说明评估对象法律权属对评估结论的影响。注册资产评估师应当在评估报告中对评估对象法律权属瑕疵状况予以充分披露。注册资产评估师以设定产权为前提对委托方不具有所有权的资产进行评估，应当对评估对象法律权属和设定产权前提予以充分披露，并明确说明设定产权状况与实际法律权属状况存在重大差别。”整体修改为现第九条“</w:t>
      </w:r>
      <w:r>
        <w:rPr>
          <w:rFonts w:hint="eastAsia" w:ascii="宋体" w:hAnsi="宋体"/>
          <w:sz w:val="30"/>
          <w:szCs w:val="30"/>
        </w:rPr>
        <w:t xml:space="preserve"> </w:t>
      </w:r>
      <w:r>
        <w:rPr>
          <w:rFonts w:hint="eastAsia" w:ascii="仿宋" w:hAnsi="仿宋" w:eastAsia="仿宋" w:cs="仿宋"/>
          <w:sz w:val="32"/>
          <w:szCs w:val="32"/>
        </w:rPr>
        <w:t>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应当在评估报告中描述评估对象法律权属，对评估对象法律权属存在瑕疵的予以披露。</w:t>
      </w:r>
    </w:p>
    <w:p>
      <w:pPr>
        <w:ind w:firstLine="640" w:firstLineChars="200"/>
        <w:rPr>
          <w:rFonts w:ascii="仿宋" w:hAnsi="仿宋" w:eastAsia="仿宋" w:cs="仿宋"/>
          <w:sz w:val="32"/>
          <w:szCs w:val="32"/>
        </w:rPr>
      </w:pPr>
      <w:r>
        <w:rPr>
          <w:rFonts w:hint="eastAsia" w:ascii="仿宋" w:hAnsi="仿宋" w:eastAsia="仿宋" w:cs="仿宋"/>
          <w:sz w:val="32"/>
          <w:szCs w:val="32"/>
        </w:rPr>
        <w:t>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以设定产权为前提进行资产评估，应当对评估对象法律权属和设定产权前提予以充分披露。”</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修改理由：精简语言、修改表述避免出现歧义。</w:t>
      </w:r>
    </w:p>
    <w:p>
      <w:pPr>
        <w:spacing w:line="480" w:lineRule="auto"/>
        <w:ind w:firstLine="640" w:firstLineChars="200"/>
        <w:rPr>
          <w:rFonts w:hint="eastAsia" w:ascii="仿宋" w:hAnsi="仿宋" w:eastAsia="仿宋" w:cs="仿宋"/>
          <w:sz w:val="32"/>
          <w:szCs w:val="32"/>
        </w:rPr>
      </w:pPr>
    </w:p>
    <w:p>
      <w:pPr>
        <w:spacing w:line="480" w:lineRule="auto"/>
        <w:rPr>
          <w:rFonts w:hint="eastAsia" w:ascii="仿宋" w:hAnsi="仿宋" w:eastAsia="仿宋" w:cs="仿宋"/>
          <w:b/>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b/>
          <w:sz w:val="32"/>
          <w:szCs w:val="32"/>
        </w:rPr>
        <w:t>二、部分修改的主要条款</w:t>
      </w:r>
    </w:p>
    <w:p>
      <w:pPr>
        <w:spacing w:line="480" w:lineRule="auto"/>
        <w:rPr>
          <w:rFonts w:ascii="仿宋" w:hAnsi="仿宋" w:eastAsia="仿宋" w:cs="仿宋"/>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sz w:val="32"/>
          <w:szCs w:val="32"/>
        </w:rPr>
        <w:t>（一）原第七条“委托方和相关当事方所提供评估对象法律权属资料存在瑕疵，或委托方委托注册资产评估师对其不具有所有权的资产进行评估，注册资产评估师应当对评估对象法律权属予以特别关注，要求委托方和相关当事方提供承诺函或说明函予以充分说明。注册资产评估师应当根据前述法律权属状况可能对资产评估结论和资产评估目的所对应经济行为造成的影响，考虑是否承接评估业务。”整体修改为现第六条“对于法律权属</w:t>
      </w:r>
      <w:r>
        <w:rPr>
          <w:rFonts w:hint="eastAsia" w:ascii="仿宋" w:hAnsi="仿宋" w:eastAsia="仿宋" w:cs="仿宋"/>
          <w:b/>
          <w:sz w:val="32"/>
          <w:szCs w:val="32"/>
        </w:rPr>
        <w:t>不清</w:t>
      </w:r>
      <w:r>
        <w:rPr>
          <w:rFonts w:hint="eastAsia" w:ascii="仿宋" w:hAnsi="仿宋" w:eastAsia="仿宋" w:cs="仿宋"/>
          <w:sz w:val="32"/>
          <w:szCs w:val="32"/>
        </w:rPr>
        <w:t>、</w:t>
      </w:r>
      <w:r>
        <w:rPr>
          <w:rFonts w:hint="eastAsia" w:ascii="仿宋" w:hAnsi="仿宋" w:eastAsia="仿宋" w:cs="仿宋"/>
          <w:b/>
          <w:sz w:val="32"/>
          <w:szCs w:val="32"/>
        </w:rPr>
        <w:t>存在瑕疵</w:t>
      </w:r>
      <w:r>
        <w:rPr>
          <w:rFonts w:hint="eastAsia" w:ascii="仿宋" w:hAnsi="仿宋" w:eastAsia="仿宋" w:cs="仿宋"/>
          <w:sz w:val="32"/>
          <w:szCs w:val="32"/>
        </w:rPr>
        <w:t>、</w:t>
      </w:r>
      <w:r>
        <w:rPr>
          <w:rFonts w:hint="eastAsia" w:ascii="仿宋" w:hAnsi="仿宋" w:eastAsia="仿宋" w:cs="仿宋"/>
          <w:b/>
          <w:sz w:val="32"/>
          <w:szCs w:val="32"/>
        </w:rPr>
        <w:t>权属关系复杂、权属资料不完备</w:t>
      </w:r>
      <w:r>
        <w:rPr>
          <w:rFonts w:hint="eastAsia" w:ascii="仿宋" w:hAnsi="仿宋" w:eastAsia="仿宋" w:cs="仿宋"/>
          <w:sz w:val="32"/>
          <w:szCs w:val="32"/>
        </w:rPr>
        <w:t>的评估对象，资产评估师</w:t>
      </w:r>
      <w:bookmarkStart w:id="0" w:name="_GoBack"/>
      <w:bookmarkEnd w:id="0"/>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应当对其法律权属予以特别关注，要求委托人和相关当事人提供承诺函或说明函予以充分说明。</w:t>
      </w:r>
      <w:r>
        <w:rPr>
          <w:rFonts w:hint="eastAsia" w:ascii="仿宋" w:hAnsi="仿宋" w:eastAsia="仿宋" w:cs="仿宋"/>
          <w:b/>
          <w:sz w:val="32"/>
          <w:szCs w:val="32"/>
        </w:rPr>
        <w:t>评估机构</w:t>
      </w:r>
      <w:r>
        <w:rPr>
          <w:rFonts w:hint="eastAsia" w:ascii="仿宋" w:hAnsi="仿宋" w:eastAsia="仿宋" w:cs="仿宋"/>
          <w:sz w:val="32"/>
          <w:szCs w:val="32"/>
        </w:rPr>
        <w:t>应当根据前述法律权属状况可能对资产评估结果和资产评估目的所对应经济行为造成的影响，考虑是否承接评估业务。”。</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修改理由：将对法律权属瑕疵等须予以特别关注的情形细化，便于实务操作。</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（二）原第十二条“注册资产评估师应当将委托方和相关当事方提供的评估对象法律权属资料及其资料来源、查验情况以及评估对象法律权属对评估结论影响的说明</w:t>
      </w:r>
      <w:r>
        <w:rPr>
          <w:rFonts w:hint="eastAsia" w:ascii="仿宋" w:hAnsi="仿宋" w:eastAsia="仿宋" w:cs="仿宋"/>
          <w:b/>
          <w:sz w:val="32"/>
          <w:szCs w:val="32"/>
        </w:rPr>
        <w:t>收入工作底稿</w:t>
      </w:r>
      <w:r>
        <w:rPr>
          <w:rFonts w:hint="eastAsia" w:ascii="仿宋" w:hAnsi="仿宋" w:eastAsia="仿宋" w:cs="仿宋"/>
          <w:sz w:val="32"/>
          <w:szCs w:val="32"/>
        </w:rPr>
        <w:t>。”修改为现第十条“委托人和相关当事人提供的评估对象法律权属资料、核查和验证情况以及其他相关说明材料，应在</w:t>
      </w:r>
      <w:r>
        <w:rPr>
          <w:rFonts w:hint="eastAsia" w:ascii="仿宋" w:hAnsi="仿宋" w:eastAsia="仿宋" w:cs="仿宋"/>
          <w:b/>
          <w:sz w:val="32"/>
          <w:szCs w:val="32"/>
        </w:rPr>
        <w:t>评估报告或</w:t>
      </w:r>
      <w:r>
        <w:rPr>
          <w:rFonts w:hint="eastAsia" w:ascii="仿宋" w:hAnsi="仿宋" w:eastAsia="仿宋" w:cs="仿宋"/>
          <w:sz w:val="32"/>
          <w:szCs w:val="32"/>
        </w:rPr>
        <w:t>工作底稿中</w:t>
      </w:r>
      <w:r>
        <w:rPr>
          <w:rFonts w:hint="eastAsia" w:ascii="仿宋" w:hAnsi="仿宋" w:eastAsia="仿宋" w:cs="仿宋"/>
          <w:b/>
          <w:sz w:val="32"/>
          <w:szCs w:val="32"/>
        </w:rPr>
        <w:t>合理反映</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修改理由：相关内容在报告和底稿中合理反映，增加了反映评估人员对权属情况关注的记录范围，更贴近实际。</w:t>
      </w:r>
    </w:p>
    <w:p>
      <w:pPr>
        <w:spacing w:line="480" w:lineRule="auto"/>
        <w:ind w:firstLine="640" w:firstLineChars="200"/>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DA9"/>
    <w:rsid w:val="000347BA"/>
    <w:rsid w:val="000C6977"/>
    <w:rsid w:val="00145136"/>
    <w:rsid w:val="00197DA9"/>
    <w:rsid w:val="001B50D4"/>
    <w:rsid w:val="001C1A9A"/>
    <w:rsid w:val="001C577D"/>
    <w:rsid w:val="001F4E76"/>
    <w:rsid w:val="002366B7"/>
    <w:rsid w:val="002425A8"/>
    <w:rsid w:val="00245AB1"/>
    <w:rsid w:val="0027234C"/>
    <w:rsid w:val="002953DC"/>
    <w:rsid w:val="0029596A"/>
    <w:rsid w:val="002E1DA0"/>
    <w:rsid w:val="00345E2F"/>
    <w:rsid w:val="003A7012"/>
    <w:rsid w:val="003B18D1"/>
    <w:rsid w:val="003B1A0D"/>
    <w:rsid w:val="003E31CF"/>
    <w:rsid w:val="003E37EB"/>
    <w:rsid w:val="0040492C"/>
    <w:rsid w:val="004748B5"/>
    <w:rsid w:val="004B2539"/>
    <w:rsid w:val="004D610E"/>
    <w:rsid w:val="005544DC"/>
    <w:rsid w:val="00586FE4"/>
    <w:rsid w:val="00592475"/>
    <w:rsid w:val="005A4CC2"/>
    <w:rsid w:val="005D5034"/>
    <w:rsid w:val="005E7C13"/>
    <w:rsid w:val="006056AF"/>
    <w:rsid w:val="006941BF"/>
    <w:rsid w:val="006A003F"/>
    <w:rsid w:val="006E048B"/>
    <w:rsid w:val="0075344B"/>
    <w:rsid w:val="007A516D"/>
    <w:rsid w:val="007B11A7"/>
    <w:rsid w:val="007C5E0E"/>
    <w:rsid w:val="007E4B20"/>
    <w:rsid w:val="00804A31"/>
    <w:rsid w:val="008179B9"/>
    <w:rsid w:val="00832E8A"/>
    <w:rsid w:val="008B35CF"/>
    <w:rsid w:val="008D747A"/>
    <w:rsid w:val="0094567E"/>
    <w:rsid w:val="00995BF7"/>
    <w:rsid w:val="009A0B64"/>
    <w:rsid w:val="009D4683"/>
    <w:rsid w:val="009E1084"/>
    <w:rsid w:val="009F6F41"/>
    <w:rsid w:val="00A13224"/>
    <w:rsid w:val="00A20AC2"/>
    <w:rsid w:val="00A2693F"/>
    <w:rsid w:val="00A45623"/>
    <w:rsid w:val="00A53035"/>
    <w:rsid w:val="00A5654C"/>
    <w:rsid w:val="00A766D1"/>
    <w:rsid w:val="00A8224F"/>
    <w:rsid w:val="00A93A34"/>
    <w:rsid w:val="00AC78C8"/>
    <w:rsid w:val="00AD2FC0"/>
    <w:rsid w:val="00AE7C29"/>
    <w:rsid w:val="00B2631A"/>
    <w:rsid w:val="00B41D41"/>
    <w:rsid w:val="00B45378"/>
    <w:rsid w:val="00B72F48"/>
    <w:rsid w:val="00B95C1F"/>
    <w:rsid w:val="00BC12B4"/>
    <w:rsid w:val="00BD4CEE"/>
    <w:rsid w:val="00C43641"/>
    <w:rsid w:val="00C962D6"/>
    <w:rsid w:val="00D10D98"/>
    <w:rsid w:val="00D1124E"/>
    <w:rsid w:val="00DC2FCA"/>
    <w:rsid w:val="00DE265D"/>
    <w:rsid w:val="00E27BA1"/>
    <w:rsid w:val="00E32B40"/>
    <w:rsid w:val="00E41A18"/>
    <w:rsid w:val="00E866B7"/>
    <w:rsid w:val="00EB115D"/>
    <w:rsid w:val="00EC1008"/>
    <w:rsid w:val="00ED3786"/>
    <w:rsid w:val="00F57606"/>
    <w:rsid w:val="00F94864"/>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9C02D1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48F70A7"/>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767287B"/>
    <w:rsid w:val="282F25B9"/>
    <w:rsid w:val="284112CE"/>
    <w:rsid w:val="285471E5"/>
    <w:rsid w:val="286E1F48"/>
    <w:rsid w:val="288D5ED3"/>
    <w:rsid w:val="28FB56BA"/>
    <w:rsid w:val="2A041B1B"/>
    <w:rsid w:val="2A302EAE"/>
    <w:rsid w:val="2AA62BFB"/>
    <w:rsid w:val="2C117D94"/>
    <w:rsid w:val="2C515116"/>
    <w:rsid w:val="2C791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14521E"/>
    <w:rsid w:val="353458CC"/>
    <w:rsid w:val="358912FE"/>
    <w:rsid w:val="370825DA"/>
    <w:rsid w:val="38863F74"/>
    <w:rsid w:val="39DC65C0"/>
    <w:rsid w:val="3A3D502F"/>
    <w:rsid w:val="3A465815"/>
    <w:rsid w:val="3AA83EF3"/>
    <w:rsid w:val="3B303E4A"/>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395955"/>
    <w:rsid w:val="43480F1A"/>
    <w:rsid w:val="438E1E8C"/>
    <w:rsid w:val="43E67FBA"/>
    <w:rsid w:val="43E70341"/>
    <w:rsid w:val="43F61D1A"/>
    <w:rsid w:val="44DF1F42"/>
    <w:rsid w:val="44E54492"/>
    <w:rsid w:val="456E2D1E"/>
    <w:rsid w:val="46317218"/>
    <w:rsid w:val="467E2385"/>
    <w:rsid w:val="46A3521A"/>
    <w:rsid w:val="47007D06"/>
    <w:rsid w:val="474D1B5A"/>
    <w:rsid w:val="479E5861"/>
    <w:rsid w:val="47D01E76"/>
    <w:rsid w:val="488D6B47"/>
    <w:rsid w:val="48A3285B"/>
    <w:rsid w:val="48D84C83"/>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310408"/>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字符"/>
    <w:basedOn w:val="7"/>
    <w:link w:val="6"/>
    <w:semiHidden/>
    <w:qFormat/>
    <w:uiPriority w:val="99"/>
    <w:rPr>
      <w:rFonts w:ascii="Times New Roman" w:hAnsi="Times New Roman" w:eastAsia="宋体" w:cs="Times New Roman"/>
      <w:sz w:val="18"/>
      <w:szCs w:val="18"/>
    </w:rPr>
  </w:style>
  <w:style w:type="character" w:customStyle="1" w:styleId="11">
    <w:name w:val="页脚 字符"/>
    <w:basedOn w:val="7"/>
    <w:link w:val="5"/>
    <w:semiHidden/>
    <w:qFormat/>
    <w:uiPriority w:val="99"/>
    <w:rPr>
      <w:rFonts w:ascii="Times New Roman" w:hAnsi="Times New Roman" w:eastAsia="宋体" w:cs="Times New Roman"/>
      <w:sz w:val="18"/>
      <w:szCs w:val="18"/>
    </w:rPr>
  </w:style>
  <w:style w:type="character" w:customStyle="1" w:styleId="12">
    <w:name w:val="批注框文本 字符"/>
    <w:basedOn w:val="7"/>
    <w:link w:val="4"/>
    <w:semiHidden/>
    <w:qFormat/>
    <w:uiPriority w:val="99"/>
    <w:rPr>
      <w:rFonts w:ascii="Times New Roman" w:hAnsi="Times New Roman" w:eastAsia="宋体" w:cs="Times New Roman"/>
      <w:kern w:val="2"/>
      <w:sz w:val="18"/>
      <w:szCs w:val="18"/>
    </w:rPr>
  </w:style>
  <w:style w:type="character" w:customStyle="1" w:styleId="13">
    <w:name w:val="批注文字 字符"/>
    <w:basedOn w:val="7"/>
    <w:link w:val="3"/>
    <w:semiHidden/>
    <w:qFormat/>
    <w:uiPriority w:val="99"/>
    <w:rPr>
      <w:rFonts w:ascii="Times New Roman" w:hAnsi="Times New Roman" w:eastAsia="宋体" w:cs="Times New Roman"/>
      <w:kern w:val="2"/>
      <w:sz w:val="21"/>
      <w:szCs w:val="24"/>
    </w:rPr>
  </w:style>
  <w:style w:type="character" w:customStyle="1" w:styleId="14">
    <w:name w:val="批注主题 字符"/>
    <w:basedOn w:val="13"/>
    <w:link w:val="2"/>
    <w:semiHidden/>
    <w:qFormat/>
    <w:uiPriority w:val="99"/>
    <w:rPr>
      <w:rFonts w:ascii="Times New Roman" w:hAnsi="Times New Roman" w:eastAsia="宋体" w:cs="Times New Roman"/>
      <w:b/>
      <w:bCs/>
      <w:kern w:val="2"/>
      <w:sz w:val="21"/>
      <w:szCs w:val="24"/>
    </w:rPr>
  </w:style>
  <w:style w:type="paragraph" w:customStyle="1"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322</Words>
  <Characters>1838</Characters>
  <Lines>15</Lines>
  <Paragraphs>4</Paragraphs>
  <ScaleCrop>false</ScaleCrop>
  <LinksUpToDate>false</LinksUpToDate>
  <CharactersWithSpaces>2156</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2016-08-25T08:08:00Z</dcterms:created>
  <dc:creator>wangchonghu</dc:creator>
  <cp:lastModifiedBy>gjy</cp:lastModifiedBy>
  <cp:lastPrinted>2016-10-25T03:21:00Z</cp:lastPrinted>
  <dcterms:modified xsi:type="dcterms:W3CDTF">2016-10-28T02:47:29Z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