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宋体" w:hAnsi="宋体"/>
          <w:b/>
          <w:sz w:val="36"/>
          <w:szCs w:val="36"/>
        </w:rPr>
      </w:pPr>
      <w:r>
        <w:rPr>
          <w:rFonts w:hint="eastAsia" w:ascii="宋体" w:hAnsi="宋体"/>
          <w:b/>
          <w:sz w:val="36"/>
          <w:szCs w:val="36"/>
        </w:rPr>
        <w:t>商标资产评估指导意见</w:t>
      </w:r>
    </w:p>
    <w:p>
      <w:pPr>
        <w:snapToGrid w:val="0"/>
        <w:spacing w:beforeLines="50" w:line="360" w:lineRule="auto"/>
        <w:jc w:val="center"/>
        <w:rPr>
          <w:rFonts w:ascii="宋体" w:hAnsi="宋体"/>
          <w:b/>
          <w:sz w:val="32"/>
          <w:szCs w:val="32"/>
        </w:rPr>
      </w:pPr>
      <w:r>
        <w:rPr>
          <w:rFonts w:hint="eastAsia" w:ascii="宋体" w:hAnsi="宋体"/>
          <w:b/>
          <w:sz w:val="32"/>
          <w:szCs w:val="32"/>
        </w:rPr>
        <w:t>（</w:t>
      </w:r>
      <w:bookmarkStart w:id="0" w:name="_GoBack"/>
      <w:bookmarkEnd w:id="0"/>
      <w:r>
        <w:rPr>
          <w:rFonts w:hint="eastAsia" w:ascii="宋体" w:hAnsi="宋体"/>
          <w:b/>
          <w:sz w:val="32"/>
          <w:szCs w:val="32"/>
        </w:rPr>
        <w:t>修订征求意见稿）</w:t>
      </w:r>
    </w:p>
    <w:p>
      <w:pPr>
        <w:spacing w:line="480" w:lineRule="auto"/>
        <w:rPr>
          <w:rFonts w:ascii="宋体" w:hAnsi="宋体"/>
          <w:sz w:val="30"/>
          <w:szCs w:val="30"/>
        </w:rPr>
      </w:pPr>
    </w:p>
    <w:p>
      <w:pPr>
        <w:numPr>
          <w:ilvl w:val="0"/>
          <w:numId w:val="1"/>
        </w:numPr>
        <w:spacing w:line="480" w:lineRule="auto"/>
        <w:jc w:val="center"/>
        <w:rPr>
          <w:rFonts w:ascii="宋体" w:hAnsi="宋体"/>
          <w:sz w:val="30"/>
          <w:szCs w:val="30"/>
        </w:rPr>
      </w:pPr>
      <w:r>
        <w:rPr>
          <w:rFonts w:hint="eastAsia" w:ascii="宋体" w:hAnsi="宋体"/>
          <w:sz w:val="30"/>
          <w:szCs w:val="30"/>
        </w:rPr>
        <w:t>总则</w:t>
      </w:r>
    </w:p>
    <w:p>
      <w:pPr>
        <w:spacing w:line="480" w:lineRule="auto"/>
        <w:rPr>
          <w:rFonts w:ascii="宋体" w:hAnsi="宋体"/>
          <w:sz w:val="30"/>
          <w:szCs w:val="30"/>
        </w:rPr>
      </w:pPr>
    </w:p>
    <w:p>
      <w:pPr>
        <w:spacing w:line="480" w:lineRule="auto"/>
        <w:ind w:firstLine="600" w:firstLineChars="200"/>
        <w:rPr>
          <w:rFonts w:ascii="宋体" w:hAnsi="宋体"/>
          <w:sz w:val="30"/>
          <w:szCs w:val="30"/>
        </w:rPr>
      </w:pPr>
      <w:r>
        <w:rPr>
          <w:rFonts w:hint="eastAsia" w:ascii="宋体" w:hAnsi="宋体"/>
          <w:sz w:val="30"/>
          <w:szCs w:val="30"/>
        </w:rPr>
        <w:t>第一条 为规范执行商标资产评估业务，保护资产评估当事人的合法权益和公共利益，根据《资产评估准则——无形资产》，制定本准则。</w:t>
      </w:r>
    </w:p>
    <w:p>
      <w:pPr>
        <w:spacing w:line="480" w:lineRule="auto"/>
        <w:ind w:firstLine="600" w:firstLineChars="200"/>
        <w:rPr>
          <w:rFonts w:ascii="宋体" w:hAnsi="宋体"/>
          <w:sz w:val="30"/>
          <w:szCs w:val="30"/>
        </w:rPr>
      </w:pPr>
      <w:r>
        <w:rPr>
          <w:rFonts w:hint="eastAsia" w:ascii="宋体" w:hAnsi="宋体"/>
          <w:sz w:val="30"/>
          <w:szCs w:val="30"/>
        </w:rPr>
        <w:t>第二条 本指导意见所称商标资产，是指商标权利人拥有或者控制的，能够持续发挥作用并且能带来经济利益的注册商标权益。</w:t>
      </w:r>
    </w:p>
    <w:p>
      <w:pPr>
        <w:spacing w:line="480" w:lineRule="auto"/>
        <w:ind w:firstLine="600" w:firstLineChars="200"/>
        <w:rPr>
          <w:rFonts w:ascii="宋体" w:hAnsi="宋体"/>
          <w:sz w:val="30"/>
          <w:szCs w:val="30"/>
        </w:rPr>
      </w:pPr>
      <w:r>
        <w:rPr>
          <w:rFonts w:hint="eastAsia" w:ascii="宋体" w:hAnsi="宋体"/>
          <w:sz w:val="30"/>
          <w:szCs w:val="30"/>
        </w:rPr>
        <w:t>第三条 本指导意见所称商标资产评估，是指资产评估机构及其资产评估专业人员遵守相关法律法规及资产评估准则的要求，根据委托对在评估基准日特定目的下的商标资产价值进行评定、估算，并出具评估报告的专业服务行为。</w:t>
      </w:r>
    </w:p>
    <w:p>
      <w:pPr>
        <w:spacing w:line="480" w:lineRule="auto"/>
        <w:ind w:firstLine="600" w:firstLineChars="200"/>
        <w:rPr>
          <w:rFonts w:ascii="宋体" w:hAnsi="宋体"/>
          <w:sz w:val="30"/>
          <w:szCs w:val="30"/>
        </w:rPr>
      </w:pPr>
      <w:r>
        <w:rPr>
          <w:rFonts w:hint="eastAsia" w:ascii="宋体" w:hAnsi="宋体"/>
          <w:sz w:val="30"/>
          <w:szCs w:val="30"/>
        </w:rPr>
        <w:t>第四条 执行商标资产评估业务，应当遵守本指导意见。</w:t>
      </w:r>
    </w:p>
    <w:p>
      <w:pPr>
        <w:spacing w:line="480" w:lineRule="auto"/>
        <w:rPr>
          <w:rFonts w:ascii="宋体" w:hAnsi="宋体"/>
          <w:sz w:val="30"/>
          <w:szCs w:val="30"/>
        </w:rPr>
      </w:pPr>
    </w:p>
    <w:p>
      <w:pPr>
        <w:spacing w:line="480" w:lineRule="auto"/>
        <w:jc w:val="center"/>
        <w:rPr>
          <w:rFonts w:ascii="宋体" w:hAnsi="宋体"/>
          <w:sz w:val="30"/>
          <w:szCs w:val="30"/>
        </w:rPr>
      </w:pPr>
      <w:r>
        <w:rPr>
          <w:rFonts w:hint="eastAsia" w:ascii="宋体" w:hAnsi="宋体"/>
          <w:sz w:val="30"/>
          <w:szCs w:val="30"/>
        </w:rPr>
        <w:t>第二章  基本要求</w:t>
      </w:r>
    </w:p>
    <w:p>
      <w:pPr>
        <w:spacing w:line="480" w:lineRule="auto"/>
        <w:rPr>
          <w:rFonts w:ascii="宋体" w:hAnsi="宋体"/>
          <w:sz w:val="30"/>
          <w:szCs w:val="30"/>
        </w:rPr>
      </w:pPr>
    </w:p>
    <w:p>
      <w:pPr>
        <w:spacing w:line="480" w:lineRule="auto"/>
        <w:ind w:firstLine="600" w:firstLineChars="200"/>
        <w:rPr>
          <w:rFonts w:ascii="宋体" w:hAnsi="宋体"/>
          <w:sz w:val="30"/>
          <w:szCs w:val="30"/>
        </w:rPr>
      </w:pPr>
      <w:r>
        <w:rPr>
          <w:rFonts w:hint="eastAsia" w:ascii="宋体" w:hAnsi="宋体"/>
          <w:sz w:val="30"/>
          <w:szCs w:val="30"/>
        </w:rPr>
        <w:t>第五条 执行商标资产评估业务，应当具备商标资产评估的相关专业知识和评估经验，具有从事商标资产评估的专业胜任能力。执行某项特定业务缺乏特定的专业知识和经验时，应当采取恰当的弥补措施，包括聘请专家协助工作等。聘请相关专家协助工作以及引用专业报告，应当遵守《资产评估准则-利用专家工作》的相关规定。</w:t>
      </w:r>
    </w:p>
    <w:p>
      <w:pPr>
        <w:spacing w:line="480" w:lineRule="auto"/>
        <w:ind w:firstLine="600" w:firstLineChars="200"/>
        <w:rPr>
          <w:rFonts w:ascii="宋体" w:hAnsi="宋体"/>
          <w:sz w:val="30"/>
          <w:szCs w:val="30"/>
        </w:rPr>
      </w:pPr>
      <w:r>
        <w:rPr>
          <w:rFonts w:hint="eastAsia" w:ascii="宋体" w:hAnsi="宋体"/>
          <w:sz w:val="30"/>
          <w:szCs w:val="30"/>
        </w:rPr>
        <w:t>第六条 执行企业价值评估中的商标资产评估业务，应当了解在对持续经营前提下的企业价值进行评估时，商标资产作为企业资产的一个组成部分时的价值有别于作为单项资产的价值，其价值取决于它对企业价值的贡献程度。</w:t>
      </w:r>
    </w:p>
    <w:p>
      <w:pPr>
        <w:spacing w:line="480" w:lineRule="auto"/>
        <w:ind w:firstLine="600" w:firstLineChars="200"/>
        <w:rPr>
          <w:rFonts w:ascii="宋体" w:hAnsi="宋体"/>
          <w:sz w:val="30"/>
          <w:szCs w:val="30"/>
        </w:rPr>
      </w:pPr>
      <w:r>
        <w:rPr>
          <w:rFonts w:hint="eastAsia" w:ascii="宋体" w:hAnsi="宋体"/>
          <w:sz w:val="30"/>
          <w:szCs w:val="30"/>
        </w:rPr>
        <w:t>第七条 执行商标资产评估业务，应当在合理考虑评估目的等因素的基础上，恰当选择价值类型。</w:t>
      </w:r>
    </w:p>
    <w:p>
      <w:pPr>
        <w:spacing w:line="480" w:lineRule="auto"/>
        <w:ind w:firstLine="600" w:firstLineChars="200"/>
        <w:rPr>
          <w:rFonts w:ascii="宋体" w:hAnsi="宋体"/>
          <w:sz w:val="30"/>
          <w:szCs w:val="30"/>
        </w:rPr>
      </w:pPr>
      <w:r>
        <w:rPr>
          <w:rFonts w:hint="eastAsia" w:ascii="宋体" w:hAnsi="宋体"/>
          <w:sz w:val="30"/>
          <w:szCs w:val="30"/>
        </w:rPr>
        <w:t>以质押为目的可以选择市场价值或者市场价值以外的价值类型，以交易为目的一般选择市场价值或投资价值，以财务报告为目的一般根据会计准则相关要求选择相应的价值类型 。</w:t>
      </w:r>
    </w:p>
    <w:p>
      <w:pPr>
        <w:spacing w:line="480" w:lineRule="auto"/>
        <w:ind w:firstLine="600" w:firstLineChars="200"/>
        <w:rPr>
          <w:rFonts w:ascii="宋体" w:hAnsi="宋体"/>
          <w:sz w:val="30"/>
          <w:szCs w:val="30"/>
        </w:rPr>
      </w:pPr>
      <w:r>
        <w:rPr>
          <w:rFonts w:hint="eastAsia" w:ascii="宋体" w:hAnsi="宋体"/>
          <w:sz w:val="30"/>
          <w:szCs w:val="30"/>
        </w:rPr>
        <w:t>第八条 执行商标资产评估业务，应当合理确定评估假设和限定条件。</w:t>
      </w:r>
    </w:p>
    <w:p>
      <w:pPr>
        <w:spacing w:line="480" w:lineRule="auto"/>
        <w:ind w:firstLine="600" w:firstLineChars="200"/>
        <w:rPr>
          <w:rFonts w:ascii="宋体" w:hAnsi="宋体"/>
          <w:sz w:val="30"/>
          <w:szCs w:val="30"/>
        </w:rPr>
      </w:pPr>
      <w:r>
        <w:rPr>
          <w:rFonts w:hint="eastAsia" w:ascii="宋体" w:hAnsi="宋体"/>
          <w:sz w:val="30"/>
          <w:szCs w:val="30"/>
        </w:rPr>
        <w:t>第九条 执行商标资产评估业务，应当勤勉尽责，保持应有的职业谨慎，不受委托人或相关当事人的非法干预，独立进行分析、估算并形成专业意见，不得出现对评估结果具有重大影响的实质性疏漏或重大错误。</w:t>
      </w:r>
    </w:p>
    <w:p>
      <w:pPr>
        <w:spacing w:line="480" w:lineRule="auto"/>
        <w:ind w:left="1350"/>
        <w:rPr>
          <w:rFonts w:ascii="宋体" w:hAnsi="宋体"/>
          <w:sz w:val="30"/>
          <w:szCs w:val="30"/>
        </w:rPr>
      </w:pPr>
    </w:p>
    <w:p>
      <w:pPr>
        <w:spacing w:line="480" w:lineRule="auto"/>
        <w:jc w:val="center"/>
        <w:rPr>
          <w:rFonts w:ascii="宋体" w:hAnsi="宋体"/>
          <w:sz w:val="30"/>
          <w:szCs w:val="30"/>
        </w:rPr>
      </w:pPr>
      <w:r>
        <w:rPr>
          <w:rFonts w:hint="eastAsia" w:ascii="宋体" w:hAnsi="宋体"/>
          <w:sz w:val="30"/>
          <w:szCs w:val="30"/>
        </w:rPr>
        <w:t>第三章  评估对象</w:t>
      </w:r>
    </w:p>
    <w:p>
      <w:pPr>
        <w:spacing w:line="480" w:lineRule="auto"/>
        <w:ind w:left="1350"/>
        <w:rPr>
          <w:rFonts w:ascii="宋体" w:hAnsi="宋体"/>
          <w:sz w:val="30"/>
          <w:szCs w:val="30"/>
        </w:rPr>
      </w:pPr>
    </w:p>
    <w:p>
      <w:pPr>
        <w:spacing w:line="480" w:lineRule="auto"/>
        <w:ind w:firstLine="600" w:firstLineChars="200"/>
        <w:rPr>
          <w:rFonts w:ascii="宋体" w:hAnsi="宋体"/>
          <w:sz w:val="30"/>
          <w:szCs w:val="30"/>
        </w:rPr>
      </w:pPr>
      <w:r>
        <w:rPr>
          <w:rFonts w:hint="eastAsia" w:ascii="宋体" w:hAnsi="宋体"/>
          <w:sz w:val="30"/>
          <w:szCs w:val="30"/>
        </w:rPr>
        <w:t>第十条 商标资产评估对象是指受法律保护的注册商标权益。</w:t>
      </w:r>
    </w:p>
    <w:p>
      <w:pPr>
        <w:spacing w:line="480" w:lineRule="auto"/>
        <w:ind w:firstLine="600" w:firstLineChars="200"/>
        <w:rPr>
          <w:rFonts w:ascii="宋体" w:hAnsi="宋体"/>
          <w:sz w:val="30"/>
          <w:szCs w:val="30"/>
        </w:rPr>
      </w:pPr>
      <w:r>
        <w:rPr>
          <w:rFonts w:hint="eastAsia" w:ascii="宋体" w:hAnsi="宋体"/>
          <w:sz w:val="30"/>
          <w:szCs w:val="30"/>
        </w:rPr>
        <w:t>执行商标资产评估业务，应当明确商标资产的权利属性。评估对象为商标专用权的，应当关注商标是否已许可他人使用及具体许可形式。评估对象为商标许可权时，应当明确该权利的具体许可形式、内容和期限。</w:t>
      </w:r>
    </w:p>
    <w:p>
      <w:pPr>
        <w:spacing w:line="480" w:lineRule="auto"/>
        <w:ind w:firstLine="600" w:firstLineChars="200"/>
        <w:rPr>
          <w:rFonts w:ascii="宋体" w:hAnsi="宋体"/>
          <w:sz w:val="30"/>
          <w:szCs w:val="30"/>
        </w:rPr>
      </w:pPr>
      <w:r>
        <w:rPr>
          <w:rFonts w:hint="eastAsia" w:ascii="宋体" w:hAnsi="宋体"/>
          <w:sz w:val="30"/>
          <w:szCs w:val="30"/>
        </w:rPr>
        <w:t>第十一条 注册商标包括商品商标、服务商标、集体商标、证明商标，商标资产评估涉及的商标通常为商品商标和服务商标。</w:t>
      </w:r>
    </w:p>
    <w:p>
      <w:pPr>
        <w:spacing w:line="480" w:lineRule="auto"/>
        <w:ind w:firstLine="600" w:firstLineChars="200"/>
        <w:rPr>
          <w:rFonts w:ascii="宋体" w:hAnsi="宋体"/>
          <w:sz w:val="30"/>
          <w:szCs w:val="30"/>
        </w:rPr>
      </w:pPr>
      <w:r>
        <w:rPr>
          <w:rFonts w:hint="eastAsia" w:ascii="宋体" w:hAnsi="宋体"/>
          <w:sz w:val="30"/>
          <w:szCs w:val="30"/>
        </w:rPr>
        <w:t>第十二条 执行商标资产评估业务，应当要求委托人明确商标的基本状况，通常包括：</w:t>
      </w:r>
    </w:p>
    <w:p>
      <w:pPr>
        <w:spacing w:line="480" w:lineRule="auto"/>
        <w:ind w:firstLine="600" w:firstLineChars="200"/>
        <w:rPr>
          <w:rFonts w:ascii="宋体" w:hAnsi="宋体"/>
          <w:sz w:val="30"/>
          <w:szCs w:val="30"/>
        </w:rPr>
      </w:pPr>
      <w:r>
        <w:rPr>
          <w:rFonts w:hint="eastAsia" w:ascii="宋体" w:hAnsi="宋体"/>
          <w:sz w:val="30"/>
          <w:szCs w:val="30"/>
        </w:rPr>
        <w:t xml:space="preserve">（一）商标的文字、图形、字母、数字、三维标志和颜色组合及其说明，商标注册号、注册期限及核准的注册类别； </w:t>
      </w:r>
    </w:p>
    <w:p>
      <w:pPr>
        <w:spacing w:line="480" w:lineRule="auto"/>
        <w:ind w:firstLine="600" w:firstLineChars="200"/>
        <w:rPr>
          <w:rFonts w:ascii="宋体" w:hAnsi="宋体"/>
          <w:sz w:val="30"/>
          <w:szCs w:val="30"/>
        </w:rPr>
      </w:pPr>
      <w:r>
        <w:rPr>
          <w:rFonts w:hint="eastAsia" w:ascii="宋体" w:hAnsi="宋体"/>
          <w:sz w:val="30"/>
          <w:szCs w:val="30"/>
        </w:rPr>
        <w:t>（二）商标的取得，包括原始取得和继受取得，以及商标注册、转让和继承程序办理情况；</w:t>
      </w:r>
    </w:p>
    <w:p>
      <w:pPr>
        <w:spacing w:line="480" w:lineRule="auto"/>
        <w:ind w:firstLine="600" w:firstLineChars="200"/>
        <w:rPr>
          <w:rFonts w:ascii="宋体" w:hAnsi="宋体"/>
          <w:sz w:val="30"/>
          <w:szCs w:val="30"/>
        </w:rPr>
      </w:pPr>
      <w:r>
        <w:rPr>
          <w:rFonts w:hint="eastAsia" w:ascii="宋体" w:hAnsi="宋体"/>
          <w:sz w:val="30"/>
          <w:szCs w:val="30"/>
        </w:rPr>
        <w:t>（三）指定使用注册商标的商品或者服务项目；</w:t>
      </w:r>
    </w:p>
    <w:p>
      <w:pPr>
        <w:spacing w:line="480" w:lineRule="auto"/>
        <w:ind w:firstLine="600" w:firstLineChars="200"/>
        <w:rPr>
          <w:rFonts w:ascii="宋体" w:hAnsi="宋体"/>
          <w:sz w:val="30"/>
          <w:szCs w:val="30"/>
        </w:rPr>
      </w:pPr>
      <w:r>
        <w:rPr>
          <w:rFonts w:hint="eastAsia" w:ascii="宋体" w:hAnsi="宋体"/>
          <w:sz w:val="30"/>
          <w:szCs w:val="30"/>
        </w:rPr>
        <w:t>（四）在类似商品或者服务上注册的相同或者近似的商标情况。</w:t>
      </w:r>
    </w:p>
    <w:p>
      <w:pPr>
        <w:spacing w:line="480" w:lineRule="auto"/>
        <w:ind w:firstLine="600" w:firstLineChars="200"/>
        <w:rPr>
          <w:rFonts w:ascii="宋体" w:hAnsi="宋体"/>
          <w:sz w:val="30"/>
          <w:szCs w:val="30"/>
        </w:rPr>
      </w:pPr>
      <w:r>
        <w:rPr>
          <w:rFonts w:hint="eastAsia" w:ascii="宋体" w:hAnsi="宋体"/>
          <w:sz w:val="30"/>
          <w:szCs w:val="30"/>
        </w:rPr>
        <w:t>第十三条 执行商标资产评估业务，应当关注商标资产的法律状态。商标资产的法律状态通常包括商标注册人及变更情况，商标续展情况，商标专用权质押情况，商标专用权权属纠纷及涉及诉讼情况等。</w:t>
      </w:r>
    </w:p>
    <w:p>
      <w:pPr>
        <w:spacing w:line="480" w:lineRule="auto"/>
        <w:ind w:firstLine="600" w:firstLineChars="200"/>
        <w:rPr>
          <w:rFonts w:ascii="宋体" w:hAnsi="宋体"/>
          <w:sz w:val="30"/>
          <w:szCs w:val="30"/>
        </w:rPr>
      </w:pPr>
      <w:r>
        <w:rPr>
          <w:rFonts w:hint="eastAsia" w:ascii="宋体" w:hAnsi="宋体"/>
          <w:sz w:val="30"/>
          <w:szCs w:val="30"/>
        </w:rPr>
        <w:t>第十四条 执行商标资产评估业务，应当根据具体情况将评估对象确定为单一商标或者商标组合。</w:t>
      </w:r>
    </w:p>
    <w:p>
      <w:pPr>
        <w:spacing w:line="480" w:lineRule="auto"/>
        <w:ind w:firstLine="600" w:firstLineChars="200"/>
        <w:rPr>
          <w:rFonts w:ascii="宋体" w:hAnsi="宋体"/>
          <w:sz w:val="30"/>
          <w:szCs w:val="30"/>
        </w:rPr>
      </w:pPr>
      <w:r>
        <w:rPr>
          <w:rFonts w:hint="eastAsia" w:ascii="宋体" w:hAnsi="宋体"/>
          <w:sz w:val="30"/>
          <w:szCs w:val="30"/>
        </w:rPr>
        <w:t>对商标专用权评估时，应当将商标注册人在相同或者类似商品和服务上注册的相同或者近似的商标作为商标组合。</w:t>
      </w:r>
    </w:p>
    <w:p>
      <w:pPr>
        <w:spacing w:line="480" w:lineRule="auto"/>
        <w:ind w:firstLine="600" w:firstLineChars="200"/>
        <w:rPr>
          <w:rFonts w:ascii="宋体" w:hAnsi="宋体"/>
          <w:sz w:val="30"/>
          <w:szCs w:val="30"/>
        </w:rPr>
      </w:pPr>
      <w:r>
        <w:rPr>
          <w:rFonts w:hint="eastAsia" w:ascii="宋体" w:hAnsi="宋体"/>
          <w:sz w:val="30"/>
          <w:szCs w:val="30"/>
        </w:rPr>
        <w:t>第十五条 执行商标许可权资产评估业务，应当要求委托人提供商标登记机关的备案资料或者有关商标许可约定的书面文件。</w:t>
      </w:r>
    </w:p>
    <w:p>
      <w:pPr>
        <w:spacing w:line="480" w:lineRule="auto"/>
        <w:ind w:firstLine="600" w:firstLineChars="200"/>
        <w:rPr>
          <w:rFonts w:ascii="宋体" w:hAnsi="宋体"/>
          <w:sz w:val="30"/>
          <w:szCs w:val="30"/>
        </w:rPr>
      </w:pPr>
      <w:r>
        <w:rPr>
          <w:rFonts w:hint="eastAsia" w:ascii="宋体" w:hAnsi="宋体"/>
          <w:sz w:val="30"/>
          <w:szCs w:val="30"/>
        </w:rPr>
        <w:t>第十六条 执行注册商标专用权质押资产评估业务，应当关注注册商标专用权的历史质押记录，以及对相同或者类似商品或者服务上注册的相同或者类似商标一并办理质权登记的情况。</w:t>
      </w:r>
    </w:p>
    <w:p>
      <w:pPr>
        <w:spacing w:line="480" w:lineRule="auto"/>
        <w:ind w:left="1350"/>
        <w:rPr>
          <w:rFonts w:ascii="宋体" w:hAnsi="宋体"/>
          <w:sz w:val="30"/>
          <w:szCs w:val="30"/>
        </w:rPr>
      </w:pPr>
    </w:p>
    <w:p>
      <w:pPr>
        <w:spacing w:line="480" w:lineRule="auto"/>
        <w:jc w:val="center"/>
        <w:rPr>
          <w:rFonts w:ascii="宋体" w:hAnsi="宋体"/>
          <w:sz w:val="30"/>
          <w:szCs w:val="30"/>
        </w:rPr>
      </w:pPr>
      <w:r>
        <w:rPr>
          <w:rFonts w:hint="eastAsia" w:ascii="宋体" w:hAnsi="宋体"/>
          <w:sz w:val="30"/>
          <w:szCs w:val="30"/>
        </w:rPr>
        <w:t>第四章  操作要求</w:t>
      </w:r>
    </w:p>
    <w:p>
      <w:pPr>
        <w:spacing w:line="480" w:lineRule="auto"/>
        <w:ind w:left="1350"/>
        <w:rPr>
          <w:rFonts w:ascii="宋体" w:hAnsi="宋体"/>
          <w:sz w:val="30"/>
          <w:szCs w:val="30"/>
        </w:rPr>
      </w:pPr>
    </w:p>
    <w:p>
      <w:pPr>
        <w:spacing w:line="480" w:lineRule="auto"/>
        <w:ind w:firstLine="600" w:firstLineChars="200"/>
        <w:rPr>
          <w:rFonts w:ascii="宋体" w:hAnsi="宋体"/>
          <w:sz w:val="30"/>
          <w:szCs w:val="30"/>
        </w:rPr>
      </w:pPr>
      <w:r>
        <w:rPr>
          <w:rFonts w:hint="eastAsia" w:ascii="宋体" w:hAnsi="宋体"/>
          <w:sz w:val="30"/>
          <w:szCs w:val="30"/>
        </w:rPr>
        <w:t>第十七条 执行商标资产评估业务，应当对商标资产相关情况进行调查，包括必要的现场调查、市场调查，并收集相关资料等。</w:t>
      </w:r>
    </w:p>
    <w:p>
      <w:pPr>
        <w:spacing w:line="480" w:lineRule="auto"/>
        <w:ind w:firstLine="600" w:firstLineChars="200"/>
        <w:rPr>
          <w:rFonts w:ascii="宋体" w:hAnsi="宋体"/>
          <w:sz w:val="30"/>
          <w:szCs w:val="30"/>
        </w:rPr>
      </w:pPr>
      <w:r>
        <w:rPr>
          <w:rFonts w:hint="eastAsia" w:ascii="宋体" w:hAnsi="宋体"/>
          <w:sz w:val="30"/>
          <w:szCs w:val="30"/>
        </w:rPr>
        <w:t>调查过程中收集的相关资料通常包括：</w:t>
      </w:r>
    </w:p>
    <w:p>
      <w:pPr>
        <w:spacing w:line="480" w:lineRule="auto"/>
        <w:ind w:firstLine="600" w:firstLineChars="200"/>
        <w:rPr>
          <w:rFonts w:ascii="宋体" w:hAnsi="宋体"/>
          <w:sz w:val="30"/>
          <w:szCs w:val="30"/>
        </w:rPr>
      </w:pPr>
      <w:r>
        <w:rPr>
          <w:rFonts w:hint="eastAsia" w:ascii="宋体" w:hAnsi="宋体"/>
          <w:sz w:val="30"/>
          <w:szCs w:val="30"/>
        </w:rPr>
        <w:t>（一）商标注册人和商标使用人的基本情况；</w:t>
      </w:r>
    </w:p>
    <w:p>
      <w:pPr>
        <w:spacing w:line="480" w:lineRule="auto"/>
        <w:ind w:firstLine="600" w:firstLineChars="200"/>
        <w:rPr>
          <w:rFonts w:ascii="宋体" w:hAnsi="宋体"/>
          <w:sz w:val="30"/>
          <w:szCs w:val="30"/>
        </w:rPr>
      </w:pPr>
      <w:r>
        <w:rPr>
          <w:rFonts w:hint="eastAsia" w:ascii="宋体" w:hAnsi="宋体"/>
          <w:sz w:val="30"/>
          <w:szCs w:val="30"/>
        </w:rPr>
        <w:t>（二）商标的权属及登记情况；包括注册、变更、许可、续展、质押、纠纷及诉讼等；</w:t>
      </w:r>
    </w:p>
    <w:p>
      <w:pPr>
        <w:spacing w:line="480" w:lineRule="auto"/>
        <w:ind w:firstLine="600" w:firstLineChars="200"/>
        <w:rPr>
          <w:rFonts w:ascii="宋体" w:hAnsi="宋体"/>
          <w:sz w:val="30"/>
          <w:szCs w:val="30"/>
        </w:rPr>
      </w:pPr>
      <w:r>
        <w:rPr>
          <w:rFonts w:hint="eastAsia" w:ascii="宋体" w:hAnsi="宋体"/>
          <w:sz w:val="30"/>
          <w:szCs w:val="30"/>
        </w:rPr>
        <w:t>（三）对商标的知晓程度；</w:t>
      </w:r>
    </w:p>
    <w:p>
      <w:pPr>
        <w:spacing w:line="480" w:lineRule="auto"/>
        <w:ind w:firstLine="600" w:firstLineChars="200"/>
        <w:rPr>
          <w:rFonts w:ascii="宋体" w:hAnsi="宋体"/>
          <w:sz w:val="30"/>
          <w:szCs w:val="30"/>
        </w:rPr>
      </w:pPr>
      <w:r>
        <w:rPr>
          <w:rFonts w:hint="eastAsia" w:ascii="宋体" w:hAnsi="宋体"/>
          <w:sz w:val="30"/>
          <w:szCs w:val="30"/>
        </w:rPr>
        <w:t>（四）相关商品或服务的销售渠道和销售网络等；</w:t>
      </w:r>
    </w:p>
    <w:p>
      <w:pPr>
        <w:spacing w:line="480" w:lineRule="auto"/>
        <w:ind w:firstLine="600" w:firstLineChars="200"/>
        <w:rPr>
          <w:rFonts w:ascii="宋体" w:hAnsi="宋体"/>
          <w:sz w:val="30"/>
          <w:szCs w:val="30"/>
        </w:rPr>
      </w:pPr>
      <w:r>
        <w:rPr>
          <w:rFonts w:hint="eastAsia" w:ascii="宋体" w:hAnsi="宋体"/>
          <w:sz w:val="30"/>
          <w:szCs w:val="30"/>
        </w:rPr>
        <w:t>（五）商标使用的持续时间；</w:t>
      </w:r>
    </w:p>
    <w:p>
      <w:pPr>
        <w:spacing w:line="480" w:lineRule="auto"/>
        <w:ind w:firstLine="600" w:firstLineChars="200"/>
        <w:rPr>
          <w:rFonts w:ascii="宋体" w:hAnsi="宋体"/>
          <w:sz w:val="30"/>
          <w:szCs w:val="30"/>
        </w:rPr>
      </w:pPr>
      <w:r>
        <w:rPr>
          <w:rFonts w:hint="eastAsia" w:ascii="宋体" w:hAnsi="宋体"/>
          <w:sz w:val="30"/>
          <w:szCs w:val="30"/>
        </w:rPr>
        <w:t>（六）商标宣传工作的持续时间、程度、费用和地理范围；</w:t>
      </w:r>
    </w:p>
    <w:p>
      <w:pPr>
        <w:spacing w:line="480" w:lineRule="auto"/>
        <w:ind w:firstLine="600" w:firstLineChars="200"/>
        <w:rPr>
          <w:rFonts w:ascii="宋体" w:hAnsi="宋体"/>
          <w:sz w:val="30"/>
          <w:szCs w:val="30"/>
        </w:rPr>
      </w:pPr>
      <w:r>
        <w:rPr>
          <w:rFonts w:hint="eastAsia" w:ascii="宋体" w:hAnsi="宋体"/>
          <w:sz w:val="30"/>
          <w:szCs w:val="30"/>
        </w:rPr>
        <w:t>（七）与使用该商标的商品或者服务相关的著作权、专利、专有技术等其他无形资产权利的情况；</w:t>
      </w:r>
    </w:p>
    <w:p>
      <w:pPr>
        <w:spacing w:line="480" w:lineRule="auto"/>
        <w:ind w:firstLine="600" w:firstLineChars="200"/>
        <w:rPr>
          <w:rFonts w:ascii="宋体" w:hAnsi="宋体"/>
          <w:sz w:val="30"/>
          <w:szCs w:val="30"/>
        </w:rPr>
      </w:pPr>
      <w:r>
        <w:rPr>
          <w:rFonts w:hint="eastAsia" w:ascii="宋体" w:hAnsi="宋体"/>
          <w:sz w:val="30"/>
          <w:szCs w:val="30"/>
        </w:rPr>
        <w:t>（八）宏观经济发展和相关行业政策与商标商品或者服务市场发展状况；</w:t>
      </w:r>
    </w:p>
    <w:p>
      <w:pPr>
        <w:spacing w:line="480" w:lineRule="auto"/>
        <w:ind w:firstLine="600" w:firstLineChars="200"/>
        <w:rPr>
          <w:rFonts w:ascii="宋体" w:hAnsi="宋体"/>
          <w:sz w:val="30"/>
          <w:szCs w:val="30"/>
        </w:rPr>
      </w:pPr>
      <w:r>
        <w:rPr>
          <w:rFonts w:hint="eastAsia" w:ascii="宋体" w:hAnsi="宋体"/>
          <w:sz w:val="30"/>
          <w:szCs w:val="30"/>
        </w:rPr>
        <w:t>（九）商标商品或者服务的使用范围、市场需求、同类商品或者服务的竞争状况；</w:t>
      </w:r>
    </w:p>
    <w:p>
      <w:pPr>
        <w:spacing w:line="480" w:lineRule="auto"/>
        <w:ind w:firstLine="600" w:firstLineChars="200"/>
        <w:rPr>
          <w:rFonts w:ascii="宋体" w:hAnsi="宋体"/>
          <w:sz w:val="30"/>
          <w:szCs w:val="30"/>
        </w:rPr>
      </w:pPr>
      <w:r>
        <w:rPr>
          <w:rFonts w:hint="eastAsia" w:ascii="宋体" w:hAnsi="宋体"/>
          <w:sz w:val="30"/>
          <w:szCs w:val="30"/>
        </w:rPr>
        <w:t>（十）商标使用、收益的可能性和方式；包括实施企业财务状况、行业竞争地位、未来发展规划等；</w:t>
      </w:r>
    </w:p>
    <w:p>
      <w:pPr>
        <w:spacing w:line="480" w:lineRule="auto"/>
        <w:ind w:firstLine="600" w:firstLineChars="200"/>
        <w:rPr>
          <w:rFonts w:ascii="宋体" w:hAnsi="宋体"/>
          <w:sz w:val="30"/>
          <w:szCs w:val="30"/>
        </w:rPr>
      </w:pPr>
      <w:r>
        <w:rPr>
          <w:rFonts w:hint="eastAsia" w:ascii="宋体" w:hAnsi="宋体"/>
          <w:sz w:val="30"/>
          <w:szCs w:val="30"/>
        </w:rPr>
        <w:t xml:space="preserve">（十一）类似商标近期的市场交易情况； </w:t>
      </w:r>
    </w:p>
    <w:p>
      <w:pPr>
        <w:spacing w:line="480" w:lineRule="auto"/>
        <w:ind w:firstLine="600" w:firstLineChars="200"/>
        <w:rPr>
          <w:rFonts w:ascii="宋体" w:hAnsi="宋体"/>
          <w:sz w:val="30"/>
          <w:szCs w:val="30"/>
        </w:rPr>
      </w:pPr>
      <w:r>
        <w:rPr>
          <w:rFonts w:hint="eastAsia" w:ascii="宋体" w:hAnsi="宋体"/>
          <w:sz w:val="30"/>
          <w:szCs w:val="30"/>
        </w:rPr>
        <w:t>（十二）商标以往的评估及交易情况；</w:t>
      </w:r>
    </w:p>
    <w:p>
      <w:pPr>
        <w:spacing w:line="480" w:lineRule="auto"/>
        <w:ind w:firstLine="600" w:firstLineChars="200"/>
        <w:rPr>
          <w:rFonts w:ascii="宋体" w:hAnsi="宋体"/>
          <w:sz w:val="30"/>
          <w:szCs w:val="30"/>
        </w:rPr>
      </w:pPr>
      <w:r>
        <w:rPr>
          <w:rFonts w:hint="eastAsia" w:ascii="宋体" w:hAnsi="宋体"/>
          <w:sz w:val="30"/>
          <w:szCs w:val="30"/>
        </w:rPr>
        <w:t>（十三）商标权利维护方面的情况，包括权利维护方式、效果、成本费用等。</w:t>
      </w:r>
    </w:p>
    <w:p>
      <w:pPr>
        <w:spacing w:line="480" w:lineRule="auto"/>
        <w:ind w:firstLine="600" w:firstLineChars="200"/>
        <w:rPr>
          <w:rFonts w:ascii="宋体" w:hAnsi="宋体"/>
          <w:sz w:val="30"/>
          <w:szCs w:val="30"/>
        </w:rPr>
      </w:pPr>
      <w:r>
        <w:rPr>
          <w:rFonts w:hint="eastAsia" w:ascii="宋体" w:hAnsi="宋体"/>
          <w:sz w:val="30"/>
          <w:szCs w:val="30"/>
        </w:rPr>
        <w:t>第十八条 执行商标资产评估业务，应当尽可能获取与商标资产使用相关的财务数据或者经审计的财务报表，对商标资产的相关财务数据进行必要的分析。</w:t>
      </w:r>
    </w:p>
    <w:p>
      <w:pPr>
        <w:spacing w:line="480" w:lineRule="auto"/>
        <w:ind w:firstLine="600" w:firstLineChars="200"/>
        <w:rPr>
          <w:rFonts w:ascii="宋体" w:hAnsi="宋体"/>
          <w:sz w:val="30"/>
          <w:szCs w:val="30"/>
        </w:rPr>
      </w:pPr>
      <w:r>
        <w:rPr>
          <w:rFonts w:hint="eastAsia" w:ascii="宋体" w:hAnsi="宋体"/>
          <w:sz w:val="30"/>
          <w:szCs w:val="30"/>
        </w:rPr>
        <w:t>第十九条 执行商标资产评估业务，应当了解商标资产与相关有形资产以及专利权、专有技术和著作权等无形资产共同发挥作用的情况，并考虑其对商标资产价值的影响。</w:t>
      </w:r>
    </w:p>
    <w:p>
      <w:pPr>
        <w:spacing w:line="480" w:lineRule="auto"/>
        <w:ind w:firstLine="600" w:firstLineChars="200"/>
        <w:rPr>
          <w:rFonts w:ascii="宋体" w:hAnsi="宋体"/>
          <w:sz w:val="30"/>
          <w:szCs w:val="30"/>
        </w:rPr>
      </w:pPr>
      <w:r>
        <w:rPr>
          <w:rFonts w:hint="eastAsia" w:ascii="宋体" w:hAnsi="宋体"/>
          <w:sz w:val="30"/>
          <w:szCs w:val="30"/>
        </w:rPr>
        <w:t>第二十条 执行商标资产评估业务，应当分析商标商品或者服务的市场需求，关注商标的美誉度、认知度以及商标商品或者服务在相关行业的市场竞争力等因素对商标资产价值的影响。</w:t>
      </w:r>
    </w:p>
    <w:p>
      <w:pPr>
        <w:spacing w:line="480" w:lineRule="auto"/>
        <w:ind w:firstLine="600" w:firstLineChars="200"/>
        <w:rPr>
          <w:rFonts w:ascii="宋体" w:hAnsi="宋体"/>
          <w:sz w:val="30"/>
          <w:szCs w:val="30"/>
        </w:rPr>
      </w:pPr>
      <w:r>
        <w:rPr>
          <w:rFonts w:hint="eastAsia" w:ascii="宋体" w:hAnsi="宋体"/>
          <w:sz w:val="30"/>
          <w:szCs w:val="30"/>
        </w:rPr>
        <w:t>第二十一条 执行注册商标专用权法律诉讼资产评估业务，应当关注相关案情基本情况，经过质证的资料，以及注册商标专用权的历史诉讼情况。</w:t>
      </w:r>
    </w:p>
    <w:p>
      <w:pPr>
        <w:spacing w:line="480" w:lineRule="auto"/>
        <w:ind w:firstLine="600" w:firstLineChars="200"/>
        <w:rPr>
          <w:rFonts w:ascii="宋体" w:hAnsi="宋体"/>
          <w:i/>
          <w:sz w:val="30"/>
          <w:szCs w:val="30"/>
          <w:u w:val="single"/>
        </w:rPr>
      </w:pPr>
      <w:r>
        <w:rPr>
          <w:rFonts w:hint="eastAsia" w:ascii="宋体" w:hAnsi="宋体"/>
          <w:sz w:val="30"/>
          <w:szCs w:val="30"/>
        </w:rPr>
        <w:t>第二十二条 执行商标资产评估业务，应当根据评估目的、评估对象、价值类型、资料收集情况等相关条件，分析三种资产评估基本方法的适用性，恰当选择评估方法，合理形成评估结果。因方法的适用性或操作限制导致无法采用两种以上评估方法进行评估的，可以采用一种方法进行评估。因适用性受限的应在报告中披露其他基本评估方法不适用的原因；因操作受限的应对所受的操作限制进行分析、说明，该限制应当是资产评估行业通常的执业方式普遍无法排除的，而不应以个别资产评估机构或个别资产评估师和其他资产评估专业人员的操作能力及条件作为判断标准。</w:t>
      </w:r>
    </w:p>
    <w:p>
      <w:pPr>
        <w:spacing w:line="480" w:lineRule="auto"/>
        <w:ind w:firstLine="600" w:firstLineChars="200"/>
        <w:rPr>
          <w:rFonts w:ascii="宋体" w:hAnsi="宋体"/>
          <w:sz w:val="30"/>
          <w:szCs w:val="30"/>
        </w:rPr>
      </w:pPr>
      <w:r>
        <w:rPr>
          <w:rFonts w:hint="eastAsia" w:ascii="宋体" w:hAnsi="宋体"/>
          <w:sz w:val="30"/>
          <w:szCs w:val="30"/>
        </w:rPr>
        <w:t>第二十三条 运用收益法进行商标资产评估时，应当合理确定预期收益。</w:t>
      </w:r>
    </w:p>
    <w:p>
      <w:pPr>
        <w:spacing w:line="480" w:lineRule="auto"/>
        <w:ind w:firstLine="600" w:firstLineChars="200"/>
        <w:rPr>
          <w:rFonts w:ascii="宋体" w:hAnsi="宋体"/>
          <w:sz w:val="30"/>
          <w:szCs w:val="30"/>
        </w:rPr>
      </w:pPr>
      <w:r>
        <w:rPr>
          <w:rFonts w:hint="eastAsia" w:ascii="宋体" w:hAnsi="宋体"/>
          <w:sz w:val="30"/>
          <w:szCs w:val="30"/>
        </w:rPr>
        <w:t>商标资产的预期收益应当是因商标的使用而额外带来的收益，可以通过增量收益、节省许可费、收益分成或者超额收益等方式估算。确定预期收益时，应当区分并剔除与商标无关的业务产生的收益，并关注以下因素：</w:t>
      </w:r>
    </w:p>
    <w:p>
      <w:pPr>
        <w:spacing w:line="480" w:lineRule="auto"/>
        <w:ind w:firstLine="600" w:firstLineChars="200"/>
        <w:rPr>
          <w:rFonts w:ascii="宋体" w:hAnsi="宋体"/>
          <w:sz w:val="30"/>
          <w:szCs w:val="30"/>
        </w:rPr>
      </w:pPr>
      <w:r>
        <w:rPr>
          <w:rFonts w:hint="eastAsia" w:ascii="宋体" w:hAnsi="宋体"/>
          <w:sz w:val="30"/>
          <w:szCs w:val="30"/>
        </w:rPr>
        <w:t>（一）商标商品或者服务所属行业的市场规模；</w:t>
      </w:r>
    </w:p>
    <w:p>
      <w:pPr>
        <w:spacing w:line="480" w:lineRule="auto"/>
        <w:ind w:firstLine="600" w:firstLineChars="200"/>
        <w:rPr>
          <w:rFonts w:ascii="宋体" w:hAnsi="宋体"/>
          <w:sz w:val="30"/>
          <w:szCs w:val="30"/>
        </w:rPr>
      </w:pPr>
      <w:r>
        <w:rPr>
          <w:rFonts w:hint="eastAsia" w:ascii="宋体" w:hAnsi="宋体"/>
          <w:sz w:val="30"/>
          <w:szCs w:val="30"/>
        </w:rPr>
        <w:t>（二）商标商品或者服务的市场地位；</w:t>
      </w:r>
    </w:p>
    <w:p>
      <w:pPr>
        <w:spacing w:line="480" w:lineRule="auto"/>
        <w:ind w:firstLine="600" w:firstLineChars="200"/>
        <w:rPr>
          <w:rFonts w:ascii="宋体" w:hAnsi="宋体"/>
          <w:sz w:val="30"/>
          <w:szCs w:val="30"/>
        </w:rPr>
      </w:pPr>
      <w:r>
        <w:rPr>
          <w:rFonts w:hint="eastAsia" w:ascii="宋体" w:hAnsi="宋体"/>
          <w:sz w:val="30"/>
          <w:szCs w:val="30"/>
        </w:rPr>
        <w:t>（三）相关企业的经营情况。</w:t>
      </w:r>
    </w:p>
    <w:p>
      <w:pPr>
        <w:spacing w:line="480" w:lineRule="auto"/>
        <w:ind w:firstLine="600" w:firstLineChars="200"/>
        <w:rPr>
          <w:rFonts w:ascii="宋体" w:hAnsi="宋体"/>
          <w:sz w:val="30"/>
          <w:szCs w:val="30"/>
        </w:rPr>
      </w:pPr>
      <w:r>
        <w:rPr>
          <w:rFonts w:hint="eastAsia" w:ascii="宋体" w:hAnsi="宋体"/>
          <w:sz w:val="30"/>
          <w:szCs w:val="30"/>
        </w:rPr>
        <w:t>第二十四条 运用收益法评估商标资产时，可以按照销售收入、利润或者现金流等口径，合理估算商标资产预期产生的收益。</w:t>
      </w:r>
    </w:p>
    <w:p>
      <w:pPr>
        <w:spacing w:line="480" w:lineRule="auto"/>
        <w:ind w:firstLine="600" w:firstLineChars="200"/>
        <w:rPr>
          <w:rFonts w:ascii="宋体" w:hAnsi="宋体"/>
          <w:sz w:val="30"/>
          <w:szCs w:val="30"/>
        </w:rPr>
      </w:pPr>
      <w:r>
        <w:rPr>
          <w:rFonts w:hint="eastAsia" w:ascii="宋体" w:hAnsi="宋体"/>
          <w:sz w:val="30"/>
          <w:szCs w:val="30"/>
        </w:rPr>
        <w:t>第二十五条 运用收益法评估商标资产时，可以通过分析商标商品或者服务所属行业的发展趋势，合理确定收益期限。收益期限可以通过综合考虑法律保护期限、相关合同约定期限、商标商品的产品寿命、商标商品或者服务的市场份额及发展潜力、商标未来维护费用、所属行业及企业的发展状况、商标注册人的经营年限等因素确定。</w:t>
      </w:r>
    </w:p>
    <w:p>
      <w:pPr>
        <w:spacing w:line="480" w:lineRule="auto"/>
        <w:ind w:firstLine="600" w:firstLineChars="200"/>
        <w:rPr>
          <w:rFonts w:ascii="宋体" w:hAnsi="宋体"/>
          <w:sz w:val="30"/>
          <w:szCs w:val="30"/>
        </w:rPr>
      </w:pPr>
      <w:r>
        <w:rPr>
          <w:rFonts w:hint="eastAsia" w:ascii="宋体" w:hAnsi="宋体"/>
          <w:sz w:val="30"/>
          <w:szCs w:val="30"/>
        </w:rPr>
        <w:t>第二十六条 运用收益法进行商标资产评估，可以通过综合考虑评估基准日的利率、投资回报率，以及商标商品生产、销售实施过程中的技术、经营、市场等方面的风险因素，合理确定折现率。商标资产折现率应当有别于企业或者其他资产折现率。商标资产折现率可以采用无风险报酬率加风险报酬率的方式确定。</w:t>
      </w:r>
    </w:p>
    <w:p>
      <w:pPr>
        <w:spacing w:line="480" w:lineRule="auto"/>
        <w:ind w:firstLine="600" w:firstLineChars="200"/>
        <w:rPr>
          <w:rFonts w:ascii="宋体" w:hAnsi="宋体"/>
          <w:sz w:val="30"/>
          <w:szCs w:val="30"/>
        </w:rPr>
      </w:pPr>
      <w:r>
        <w:rPr>
          <w:rFonts w:hint="eastAsia" w:ascii="宋体" w:hAnsi="宋体"/>
          <w:sz w:val="30"/>
          <w:szCs w:val="30"/>
        </w:rPr>
        <w:t>商标资产折现率口径应当与预期收益的口径保持一致。</w:t>
      </w:r>
    </w:p>
    <w:p>
      <w:pPr>
        <w:spacing w:line="480" w:lineRule="auto"/>
        <w:ind w:firstLine="600" w:firstLineChars="200"/>
        <w:rPr>
          <w:rFonts w:ascii="宋体" w:hAnsi="宋体"/>
          <w:sz w:val="30"/>
          <w:szCs w:val="30"/>
        </w:rPr>
      </w:pPr>
      <w:r>
        <w:rPr>
          <w:rFonts w:hint="eastAsia" w:ascii="宋体" w:hAnsi="宋体"/>
          <w:sz w:val="30"/>
          <w:szCs w:val="30"/>
        </w:rPr>
        <w:t>第二十七条 运用市场法进行商标资产评估时，应当对收集的可比交易案例与评估对象进行比较，分析时可以从在交易时间、权利种类或形式、交易方的关系、获利能力、竞争能力、预计收益期限、商标维护费用、风险程度等方面的差异进行比较。运用市场法进行商标资产评估应当对收集的可比交易案例与评估对象进行比较。</w:t>
      </w:r>
    </w:p>
    <w:p>
      <w:pPr>
        <w:spacing w:line="480" w:lineRule="auto"/>
        <w:ind w:firstLine="600" w:firstLineChars="200"/>
        <w:rPr>
          <w:rFonts w:ascii="宋体" w:hAnsi="宋体"/>
          <w:sz w:val="30"/>
          <w:szCs w:val="30"/>
        </w:rPr>
      </w:pPr>
      <w:r>
        <w:rPr>
          <w:rFonts w:hint="eastAsia" w:ascii="宋体" w:hAnsi="宋体"/>
          <w:sz w:val="30"/>
          <w:szCs w:val="30"/>
        </w:rPr>
        <w:t>第二十八条 运用成本法进行商标资产评估时，应当考虑商标资产价值与成本的相关程度,恰当考虑成本法的适用性。</w:t>
      </w:r>
    </w:p>
    <w:p>
      <w:pPr>
        <w:spacing w:line="480" w:lineRule="auto"/>
        <w:ind w:firstLine="600" w:firstLineChars="200"/>
        <w:rPr>
          <w:rFonts w:ascii="宋体" w:hAnsi="宋体"/>
          <w:sz w:val="30"/>
          <w:szCs w:val="30"/>
        </w:rPr>
      </w:pPr>
      <w:r>
        <w:rPr>
          <w:rFonts w:hint="eastAsia" w:ascii="宋体" w:hAnsi="宋体"/>
          <w:sz w:val="30"/>
          <w:szCs w:val="30"/>
        </w:rPr>
        <w:t>商标重置成本包括合理的成本、利润和相关税费等。</w:t>
      </w:r>
    </w:p>
    <w:p>
      <w:pPr>
        <w:spacing w:line="480" w:lineRule="auto"/>
        <w:ind w:firstLine="600" w:firstLineChars="200"/>
        <w:rPr>
          <w:rFonts w:ascii="宋体" w:hAnsi="宋体"/>
          <w:sz w:val="30"/>
          <w:szCs w:val="30"/>
        </w:rPr>
      </w:pPr>
      <w:r>
        <w:rPr>
          <w:rFonts w:hint="eastAsia" w:ascii="宋体" w:hAnsi="宋体"/>
          <w:sz w:val="30"/>
          <w:szCs w:val="30"/>
        </w:rPr>
        <w:t>第二十九条 运用成本法进行商标资产评估时，应当关注评估对象的贬值。</w:t>
      </w:r>
    </w:p>
    <w:p>
      <w:pPr>
        <w:spacing w:line="480" w:lineRule="auto"/>
        <w:ind w:firstLine="600" w:firstLineChars="200"/>
        <w:rPr>
          <w:rFonts w:ascii="宋体" w:hAnsi="宋体"/>
          <w:sz w:val="30"/>
          <w:szCs w:val="30"/>
        </w:rPr>
      </w:pPr>
    </w:p>
    <w:p>
      <w:pPr>
        <w:spacing w:line="480" w:lineRule="auto"/>
        <w:jc w:val="center"/>
        <w:rPr>
          <w:rFonts w:ascii="宋体" w:hAnsi="宋体"/>
          <w:sz w:val="30"/>
          <w:szCs w:val="30"/>
        </w:rPr>
      </w:pPr>
      <w:r>
        <w:rPr>
          <w:rFonts w:hint="eastAsia" w:ascii="宋体" w:hAnsi="宋体"/>
          <w:sz w:val="30"/>
          <w:szCs w:val="30"/>
        </w:rPr>
        <w:t>第五章  披露要求</w:t>
      </w:r>
    </w:p>
    <w:p>
      <w:pPr>
        <w:ind w:firstLine="600" w:firstLineChars="200"/>
        <w:rPr>
          <w:rFonts w:ascii="宋体" w:hAnsi="宋体"/>
          <w:sz w:val="30"/>
          <w:szCs w:val="30"/>
        </w:rPr>
      </w:pPr>
    </w:p>
    <w:p>
      <w:pPr>
        <w:ind w:firstLine="600" w:firstLineChars="200"/>
        <w:rPr>
          <w:rFonts w:ascii="宋体" w:hAnsi="宋体"/>
          <w:sz w:val="30"/>
          <w:szCs w:val="30"/>
        </w:rPr>
      </w:pPr>
      <w:r>
        <w:rPr>
          <w:rFonts w:hint="eastAsia" w:ascii="宋体" w:hAnsi="宋体"/>
          <w:sz w:val="30"/>
          <w:szCs w:val="30"/>
        </w:rPr>
        <w:t>第三十条 执行商标资产评估业务，应当在履行必要的评估程序后，根据《资产评估准则——资产评估报告》编制评估报告。</w:t>
      </w:r>
    </w:p>
    <w:p>
      <w:pPr>
        <w:ind w:firstLine="600" w:firstLineChars="200"/>
        <w:rPr>
          <w:rFonts w:ascii="宋体" w:hAnsi="宋体"/>
          <w:sz w:val="30"/>
          <w:szCs w:val="30"/>
        </w:rPr>
      </w:pPr>
      <w:r>
        <w:rPr>
          <w:rFonts w:hint="eastAsia" w:ascii="宋体" w:hAnsi="宋体"/>
          <w:sz w:val="30"/>
          <w:szCs w:val="30"/>
        </w:rPr>
        <w:t>第三十一条 执行商标资产评估业务，应当在评估报告中披露必要的信息，使评估报告使用人能够合理理解评估结果。</w:t>
      </w:r>
    </w:p>
    <w:p>
      <w:pPr>
        <w:ind w:firstLine="600" w:firstLineChars="200"/>
        <w:rPr>
          <w:rFonts w:ascii="宋体" w:hAnsi="宋体"/>
          <w:sz w:val="30"/>
          <w:szCs w:val="30"/>
        </w:rPr>
      </w:pPr>
      <w:r>
        <w:rPr>
          <w:rFonts w:hint="eastAsia" w:ascii="宋体" w:hAnsi="宋体"/>
          <w:sz w:val="30"/>
          <w:szCs w:val="30"/>
        </w:rPr>
        <w:t>第三十二条 编制商标资产评估报告应当反映商标资产的特点，通常包括以下内容：</w:t>
      </w:r>
    </w:p>
    <w:p>
      <w:pPr>
        <w:ind w:firstLine="600" w:firstLineChars="200"/>
        <w:rPr>
          <w:rFonts w:ascii="宋体" w:hAnsi="宋体"/>
          <w:sz w:val="30"/>
          <w:szCs w:val="30"/>
        </w:rPr>
      </w:pPr>
      <w:r>
        <w:rPr>
          <w:rFonts w:hint="eastAsia" w:ascii="宋体" w:hAnsi="宋体"/>
          <w:sz w:val="30"/>
          <w:szCs w:val="30"/>
        </w:rPr>
        <w:t>（一）商标注册人的基本情况；</w:t>
      </w:r>
    </w:p>
    <w:p>
      <w:pPr>
        <w:ind w:firstLine="600" w:firstLineChars="200"/>
        <w:rPr>
          <w:rFonts w:ascii="宋体" w:hAnsi="宋体"/>
          <w:sz w:val="30"/>
          <w:szCs w:val="30"/>
        </w:rPr>
      </w:pPr>
      <w:r>
        <w:rPr>
          <w:rFonts w:hint="eastAsia" w:ascii="宋体" w:hAnsi="宋体"/>
          <w:sz w:val="30"/>
          <w:szCs w:val="30"/>
        </w:rPr>
        <w:t>（二）商标的基本情况；</w:t>
      </w:r>
    </w:p>
    <w:p>
      <w:pPr>
        <w:ind w:firstLine="600" w:firstLineChars="200"/>
        <w:rPr>
          <w:rFonts w:ascii="宋体" w:hAnsi="宋体"/>
          <w:sz w:val="30"/>
          <w:szCs w:val="30"/>
        </w:rPr>
      </w:pPr>
      <w:r>
        <w:rPr>
          <w:rFonts w:hint="eastAsia" w:ascii="宋体" w:hAnsi="宋体"/>
          <w:sz w:val="30"/>
          <w:szCs w:val="30"/>
        </w:rPr>
        <w:t>（三）商标商品或者服务的基本情况；</w:t>
      </w:r>
    </w:p>
    <w:p>
      <w:pPr>
        <w:ind w:firstLine="600" w:firstLineChars="200"/>
        <w:rPr>
          <w:rFonts w:ascii="宋体" w:hAnsi="宋体"/>
          <w:sz w:val="30"/>
          <w:szCs w:val="30"/>
        </w:rPr>
      </w:pPr>
      <w:r>
        <w:rPr>
          <w:rFonts w:hint="eastAsia" w:ascii="宋体" w:hAnsi="宋体"/>
          <w:sz w:val="30"/>
          <w:szCs w:val="30"/>
        </w:rPr>
        <w:t>（四）商标商品或者服务的生产、销售中涉及的著作权、专利、专有技术等其他无形资产的情况；</w:t>
      </w:r>
    </w:p>
    <w:p>
      <w:pPr>
        <w:ind w:firstLine="600" w:firstLineChars="200"/>
        <w:rPr>
          <w:rFonts w:ascii="宋体" w:hAnsi="宋体"/>
          <w:sz w:val="30"/>
          <w:szCs w:val="30"/>
        </w:rPr>
      </w:pPr>
      <w:r>
        <w:rPr>
          <w:rFonts w:hint="eastAsia" w:ascii="宋体" w:hAnsi="宋体"/>
          <w:sz w:val="30"/>
          <w:szCs w:val="30"/>
        </w:rPr>
        <w:t xml:space="preserve"> (五) 商标资产产生收益的方式；</w:t>
      </w:r>
    </w:p>
    <w:p>
      <w:pPr>
        <w:ind w:firstLine="600" w:firstLineChars="200"/>
        <w:rPr>
          <w:rFonts w:ascii="宋体" w:hAnsi="宋体"/>
          <w:sz w:val="30"/>
          <w:szCs w:val="30"/>
        </w:rPr>
      </w:pPr>
      <w:r>
        <w:rPr>
          <w:rFonts w:hint="eastAsia" w:ascii="宋体" w:hAnsi="宋体"/>
          <w:sz w:val="30"/>
          <w:szCs w:val="30"/>
        </w:rPr>
        <w:t>（六）商标剩余法定保护期限以及预计收益期限；</w:t>
      </w:r>
    </w:p>
    <w:p>
      <w:pPr>
        <w:ind w:firstLine="600" w:firstLineChars="200"/>
        <w:rPr>
          <w:rFonts w:ascii="宋体" w:hAnsi="宋体"/>
          <w:sz w:val="30"/>
          <w:szCs w:val="30"/>
        </w:rPr>
      </w:pPr>
      <w:r>
        <w:rPr>
          <w:rFonts w:hint="eastAsia" w:ascii="宋体" w:hAnsi="宋体"/>
          <w:sz w:val="30"/>
          <w:szCs w:val="30"/>
        </w:rPr>
        <w:t>（七）对影响商标资产价值因素的分析过程；</w:t>
      </w:r>
    </w:p>
    <w:p>
      <w:pPr>
        <w:ind w:firstLine="600" w:firstLineChars="200"/>
        <w:rPr>
          <w:rFonts w:ascii="宋体" w:hAnsi="宋体"/>
          <w:sz w:val="30"/>
          <w:szCs w:val="30"/>
        </w:rPr>
      </w:pPr>
      <w:r>
        <w:rPr>
          <w:rFonts w:hint="eastAsia" w:ascii="宋体" w:hAnsi="宋体"/>
          <w:sz w:val="30"/>
          <w:szCs w:val="30"/>
        </w:rPr>
        <w:t>（八）使用的评估假设以及限定条件；</w:t>
      </w:r>
    </w:p>
    <w:p>
      <w:pPr>
        <w:ind w:firstLine="600" w:firstLineChars="200"/>
        <w:rPr>
          <w:rFonts w:ascii="宋体" w:hAnsi="宋体"/>
          <w:sz w:val="30"/>
          <w:szCs w:val="30"/>
        </w:rPr>
      </w:pPr>
      <w:r>
        <w:rPr>
          <w:rFonts w:hint="eastAsia" w:ascii="宋体" w:hAnsi="宋体"/>
          <w:sz w:val="30"/>
          <w:szCs w:val="30"/>
        </w:rPr>
        <w:t>（九）商标资产许可、转让、诉讼以及质押等情况；</w:t>
      </w:r>
    </w:p>
    <w:p>
      <w:pPr>
        <w:ind w:firstLine="600" w:firstLineChars="200"/>
        <w:rPr>
          <w:rFonts w:ascii="宋体" w:hAnsi="宋体"/>
          <w:sz w:val="30"/>
          <w:szCs w:val="30"/>
        </w:rPr>
      </w:pPr>
      <w:r>
        <w:rPr>
          <w:rFonts w:hint="eastAsia" w:ascii="宋体" w:hAnsi="宋体"/>
          <w:sz w:val="30"/>
          <w:szCs w:val="30"/>
        </w:rPr>
        <w:t>（十）其他必要说明</w:t>
      </w:r>
    </w:p>
    <w:p>
      <w:pPr>
        <w:ind w:firstLine="600" w:firstLineChars="200"/>
        <w:rPr>
          <w:rFonts w:ascii="宋体" w:hAnsi="宋体"/>
          <w:sz w:val="30"/>
          <w:szCs w:val="30"/>
        </w:rPr>
      </w:pPr>
    </w:p>
    <w:p>
      <w:pPr>
        <w:jc w:val="center"/>
        <w:rPr>
          <w:rFonts w:ascii="宋体" w:hAnsi="宋体"/>
          <w:sz w:val="30"/>
          <w:szCs w:val="30"/>
        </w:rPr>
      </w:pPr>
      <w:r>
        <w:rPr>
          <w:rFonts w:hint="eastAsia" w:ascii="宋体" w:hAnsi="宋体"/>
          <w:sz w:val="30"/>
          <w:szCs w:val="30"/>
        </w:rPr>
        <w:t>第六章    附 则</w:t>
      </w:r>
    </w:p>
    <w:p>
      <w:pPr>
        <w:spacing w:line="480" w:lineRule="auto"/>
        <w:rPr>
          <w:rFonts w:ascii="宋体" w:hAnsi="宋体"/>
          <w:sz w:val="30"/>
          <w:szCs w:val="30"/>
        </w:rPr>
      </w:pPr>
    </w:p>
    <w:p>
      <w:pPr>
        <w:ind w:firstLine="600" w:firstLineChars="200"/>
        <w:rPr>
          <w:rFonts w:ascii="宋体" w:hAnsi="宋体"/>
          <w:sz w:val="30"/>
          <w:szCs w:val="30"/>
        </w:rPr>
      </w:pPr>
      <w:r>
        <w:rPr>
          <w:rFonts w:hint="eastAsia" w:ascii="宋体" w:hAnsi="宋体"/>
          <w:sz w:val="30"/>
          <w:szCs w:val="30"/>
        </w:rPr>
        <w:t>第三十三条 本指导意见自 年月日起施行。</w:t>
      </w: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9"/>
      </w:rPr>
    </w:pPr>
    <w:r>
      <w:rPr>
        <w:rStyle w:val="9"/>
      </w:rPr>
      <w:fldChar w:fldCharType="begin"/>
    </w:r>
    <w:r>
      <w:rPr>
        <w:rStyle w:val="9"/>
      </w:rPr>
      <w:instrText xml:space="preserve">PAGE  </w:instrText>
    </w:r>
    <w:r>
      <w:rPr>
        <w:rStyle w:val="9"/>
      </w:rP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7B6668"/>
    <w:multiLevelType w:val="multilevel"/>
    <w:tmpl w:val="747B6668"/>
    <w:lvl w:ilvl="0" w:tentative="0">
      <w:start w:val="1"/>
      <w:numFmt w:val="japaneseCounting"/>
      <w:lvlText w:val="第%1章"/>
      <w:lvlJc w:val="left"/>
      <w:pPr>
        <w:ind w:left="1200" w:hanging="120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E202F"/>
    <w:rsid w:val="00000438"/>
    <w:rsid w:val="0000469F"/>
    <w:rsid w:val="00020571"/>
    <w:rsid w:val="00035671"/>
    <w:rsid w:val="00054AC9"/>
    <w:rsid w:val="0007036A"/>
    <w:rsid w:val="000800F6"/>
    <w:rsid w:val="000845BA"/>
    <w:rsid w:val="00093EF2"/>
    <w:rsid w:val="00097E38"/>
    <w:rsid w:val="000A1C79"/>
    <w:rsid w:val="000A1EAA"/>
    <w:rsid w:val="000A26A7"/>
    <w:rsid w:val="000A338D"/>
    <w:rsid w:val="000B4172"/>
    <w:rsid w:val="000B6F76"/>
    <w:rsid w:val="000D1205"/>
    <w:rsid w:val="000D18B8"/>
    <w:rsid w:val="000F063D"/>
    <w:rsid w:val="00123FB4"/>
    <w:rsid w:val="001252C7"/>
    <w:rsid w:val="00134A14"/>
    <w:rsid w:val="00160644"/>
    <w:rsid w:val="001625B3"/>
    <w:rsid w:val="00162FC7"/>
    <w:rsid w:val="001778FD"/>
    <w:rsid w:val="00181F21"/>
    <w:rsid w:val="00190E98"/>
    <w:rsid w:val="001A7D15"/>
    <w:rsid w:val="001B6282"/>
    <w:rsid w:val="001C29B6"/>
    <w:rsid w:val="001C5284"/>
    <w:rsid w:val="001D51F1"/>
    <w:rsid w:val="001D7449"/>
    <w:rsid w:val="001E1387"/>
    <w:rsid w:val="001E359F"/>
    <w:rsid w:val="001E3766"/>
    <w:rsid w:val="001E4606"/>
    <w:rsid w:val="001F6830"/>
    <w:rsid w:val="00202419"/>
    <w:rsid w:val="0021537C"/>
    <w:rsid w:val="0022165E"/>
    <w:rsid w:val="00230E16"/>
    <w:rsid w:val="00242704"/>
    <w:rsid w:val="00245C0C"/>
    <w:rsid w:val="002558DD"/>
    <w:rsid w:val="00264058"/>
    <w:rsid w:val="002762DC"/>
    <w:rsid w:val="00281FE0"/>
    <w:rsid w:val="002A6986"/>
    <w:rsid w:val="002B0FA4"/>
    <w:rsid w:val="002D3EF8"/>
    <w:rsid w:val="002E202F"/>
    <w:rsid w:val="002E7219"/>
    <w:rsid w:val="002F3854"/>
    <w:rsid w:val="00300693"/>
    <w:rsid w:val="00300FC8"/>
    <w:rsid w:val="0030453B"/>
    <w:rsid w:val="00310B57"/>
    <w:rsid w:val="00312975"/>
    <w:rsid w:val="00323969"/>
    <w:rsid w:val="00337F90"/>
    <w:rsid w:val="003739CA"/>
    <w:rsid w:val="00376550"/>
    <w:rsid w:val="003A5B4F"/>
    <w:rsid w:val="003B30C8"/>
    <w:rsid w:val="003D5DEE"/>
    <w:rsid w:val="003E290F"/>
    <w:rsid w:val="004055EE"/>
    <w:rsid w:val="00406467"/>
    <w:rsid w:val="00410AD1"/>
    <w:rsid w:val="0041777E"/>
    <w:rsid w:val="004260BB"/>
    <w:rsid w:val="00426F55"/>
    <w:rsid w:val="004271B2"/>
    <w:rsid w:val="00431CF7"/>
    <w:rsid w:val="0044419E"/>
    <w:rsid w:val="00455A05"/>
    <w:rsid w:val="00457144"/>
    <w:rsid w:val="004726C7"/>
    <w:rsid w:val="00475088"/>
    <w:rsid w:val="00480C51"/>
    <w:rsid w:val="00487812"/>
    <w:rsid w:val="00492985"/>
    <w:rsid w:val="0049678F"/>
    <w:rsid w:val="004A1DC2"/>
    <w:rsid w:val="004C72D4"/>
    <w:rsid w:val="004D6CC5"/>
    <w:rsid w:val="004D7DE1"/>
    <w:rsid w:val="004E6FC4"/>
    <w:rsid w:val="004E7340"/>
    <w:rsid w:val="004F0AC6"/>
    <w:rsid w:val="004F1CE3"/>
    <w:rsid w:val="00502C16"/>
    <w:rsid w:val="0050717E"/>
    <w:rsid w:val="005112E5"/>
    <w:rsid w:val="00526D37"/>
    <w:rsid w:val="0053031C"/>
    <w:rsid w:val="00535EAD"/>
    <w:rsid w:val="0053696F"/>
    <w:rsid w:val="0054267E"/>
    <w:rsid w:val="00544F9A"/>
    <w:rsid w:val="0054571D"/>
    <w:rsid w:val="005543C0"/>
    <w:rsid w:val="00555182"/>
    <w:rsid w:val="00561B18"/>
    <w:rsid w:val="00573628"/>
    <w:rsid w:val="00581A9B"/>
    <w:rsid w:val="00583B23"/>
    <w:rsid w:val="005849AC"/>
    <w:rsid w:val="005A2048"/>
    <w:rsid w:val="005A4290"/>
    <w:rsid w:val="005A655D"/>
    <w:rsid w:val="005B0800"/>
    <w:rsid w:val="005C3628"/>
    <w:rsid w:val="005C4BD1"/>
    <w:rsid w:val="005D5AEE"/>
    <w:rsid w:val="005E0655"/>
    <w:rsid w:val="005E13C0"/>
    <w:rsid w:val="005E4179"/>
    <w:rsid w:val="005E4AA6"/>
    <w:rsid w:val="005E740E"/>
    <w:rsid w:val="006008EE"/>
    <w:rsid w:val="006055AD"/>
    <w:rsid w:val="006145AD"/>
    <w:rsid w:val="006319E9"/>
    <w:rsid w:val="006324E0"/>
    <w:rsid w:val="00634ED3"/>
    <w:rsid w:val="006371DA"/>
    <w:rsid w:val="00661B7D"/>
    <w:rsid w:val="00661D23"/>
    <w:rsid w:val="00696972"/>
    <w:rsid w:val="006973C8"/>
    <w:rsid w:val="006C1EC4"/>
    <w:rsid w:val="006C3951"/>
    <w:rsid w:val="006C6895"/>
    <w:rsid w:val="006D0494"/>
    <w:rsid w:val="006E2969"/>
    <w:rsid w:val="006E7A91"/>
    <w:rsid w:val="006F186C"/>
    <w:rsid w:val="007129AE"/>
    <w:rsid w:val="00732005"/>
    <w:rsid w:val="007363A1"/>
    <w:rsid w:val="0074461E"/>
    <w:rsid w:val="007569DF"/>
    <w:rsid w:val="00761295"/>
    <w:rsid w:val="007625BB"/>
    <w:rsid w:val="0077731B"/>
    <w:rsid w:val="00795008"/>
    <w:rsid w:val="007976F4"/>
    <w:rsid w:val="007A14CA"/>
    <w:rsid w:val="007A4305"/>
    <w:rsid w:val="007C0525"/>
    <w:rsid w:val="007C605A"/>
    <w:rsid w:val="007C63CC"/>
    <w:rsid w:val="007D255D"/>
    <w:rsid w:val="007D6362"/>
    <w:rsid w:val="007E160D"/>
    <w:rsid w:val="007E68DD"/>
    <w:rsid w:val="007F1310"/>
    <w:rsid w:val="008141BA"/>
    <w:rsid w:val="00821249"/>
    <w:rsid w:val="0082402A"/>
    <w:rsid w:val="00827009"/>
    <w:rsid w:val="00843006"/>
    <w:rsid w:val="00850187"/>
    <w:rsid w:val="00852D3D"/>
    <w:rsid w:val="008637E9"/>
    <w:rsid w:val="00877545"/>
    <w:rsid w:val="00887717"/>
    <w:rsid w:val="008A1890"/>
    <w:rsid w:val="008A5AF0"/>
    <w:rsid w:val="008B336F"/>
    <w:rsid w:val="008B47BD"/>
    <w:rsid w:val="008C1F35"/>
    <w:rsid w:val="008C207B"/>
    <w:rsid w:val="008C392E"/>
    <w:rsid w:val="008D73F4"/>
    <w:rsid w:val="008F4C26"/>
    <w:rsid w:val="00904C41"/>
    <w:rsid w:val="00913898"/>
    <w:rsid w:val="00916E07"/>
    <w:rsid w:val="00921C39"/>
    <w:rsid w:val="00937375"/>
    <w:rsid w:val="00943F37"/>
    <w:rsid w:val="00944FA0"/>
    <w:rsid w:val="00946FFD"/>
    <w:rsid w:val="00955354"/>
    <w:rsid w:val="00966E8A"/>
    <w:rsid w:val="009675F6"/>
    <w:rsid w:val="009715A4"/>
    <w:rsid w:val="00975066"/>
    <w:rsid w:val="00980EDC"/>
    <w:rsid w:val="00986326"/>
    <w:rsid w:val="009A58C0"/>
    <w:rsid w:val="009C40EF"/>
    <w:rsid w:val="009D313A"/>
    <w:rsid w:val="009D5468"/>
    <w:rsid w:val="009E439E"/>
    <w:rsid w:val="009E5078"/>
    <w:rsid w:val="009E53FF"/>
    <w:rsid w:val="009E6016"/>
    <w:rsid w:val="009E676E"/>
    <w:rsid w:val="009F6268"/>
    <w:rsid w:val="009F6D7E"/>
    <w:rsid w:val="00A11BA7"/>
    <w:rsid w:val="00A14B5D"/>
    <w:rsid w:val="00A31AC7"/>
    <w:rsid w:val="00A3418E"/>
    <w:rsid w:val="00A353C9"/>
    <w:rsid w:val="00A4543B"/>
    <w:rsid w:val="00A46DEE"/>
    <w:rsid w:val="00A540F9"/>
    <w:rsid w:val="00A54F6B"/>
    <w:rsid w:val="00A60FB8"/>
    <w:rsid w:val="00A6288F"/>
    <w:rsid w:val="00A6500B"/>
    <w:rsid w:val="00A66D2A"/>
    <w:rsid w:val="00A9091E"/>
    <w:rsid w:val="00A90A99"/>
    <w:rsid w:val="00A936FA"/>
    <w:rsid w:val="00AB501A"/>
    <w:rsid w:val="00AC2349"/>
    <w:rsid w:val="00AD490F"/>
    <w:rsid w:val="00AD61F2"/>
    <w:rsid w:val="00AE108C"/>
    <w:rsid w:val="00AE7078"/>
    <w:rsid w:val="00AF2D91"/>
    <w:rsid w:val="00B075F6"/>
    <w:rsid w:val="00B20D57"/>
    <w:rsid w:val="00B22137"/>
    <w:rsid w:val="00B22FBC"/>
    <w:rsid w:val="00B2461D"/>
    <w:rsid w:val="00B34BF7"/>
    <w:rsid w:val="00B503A4"/>
    <w:rsid w:val="00B51849"/>
    <w:rsid w:val="00B525A1"/>
    <w:rsid w:val="00B602CF"/>
    <w:rsid w:val="00B6266D"/>
    <w:rsid w:val="00B6566A"/>
    <w:rsid w:val="00B65F60"/>
    <w:rsid w:val="00B90643"/>
    <w:rsid w:val="00BA58E2"/>
    <w:rsid w:val="00BB4520"/>
    <w:rsid w:val="00BB6D51"/>
    <w:rsid w:val="00BC30EF"/>
    <w:rsid w:val="00BC66F4"/>
    <w:rsid w:val="00BD1C56"/>
    <w:rsid w:val="00BD34BA"/>
    <w:rsid w:val="00BE022B"/>
    <w:rsid w:val="00BE1F68"/>
    <w:rsid w:val="00BF4BE7"/>
    <w:rsid w:val="00C16AC2"/>
    <w:rsid w:val="00C17CBA"/>
    <w:rsid w:val="00C36D93"/>
    <w:rsid w:val="00C43DB0"/>
    <w:rsid w:val="00C51D28"/>
    <w:rsid w:val="00C51E64"/>
    <w:rsid w:val="00C82DD8"/>
    <w:rsid w:val="00C876DA"/>
    <w:rsid w:val="00C90F28"/>
    <w:rsid w:val="00CB1441"/>
    <w:rsid w:val="00CB51AE"/>
    <w:rsid w:val="00CB7DBF"/>
    <w:rsid w:val="00CC4AE5"/>
    <w:rsid w:val="00CC6173"/>
    <w:rsid w:val="00CD4D2B"/>
    <w:rsid w:val="00CD65DE"/>
    <w:rsid w:val="00D02928"/>
    <w:rsid w:val="00D05E3A"/>
    <w:rsid w:val="00D169B1"/>
    <w:rsid w:val="00D17C0E"/>
    <w:rsid w:val="00D34BF2"/>
    <w:rsid w:val="00D36AF7"/>
    <w:rsid w:val="00D4454F"/>
    <w:rsid w:val="00D44CA4"/>
    <w:rsid w:val="00D45671"/>
    <w:rsid w:val="00D51B7F"/>
    <w:rsid w:val="00D72C64"/>
    <w:rsid w:val="00D874C9"/>
    <w:rsid w:val="00DB60F8"/>
    <w:rsid w:val="00DB686D"/>
    <w:rsid w:val="00DC3A26"/>
    <w:rsid w:val="00DD460D"/>
    <w:rsid w:val="00DD7A3E"/>
    <w:rsid w:val="00DE309B"/>
    <w:rsid w:val="00E015CB"/>
    <w:rsid w:val="00E03456"/>
    <w:rsid w:val="00E055D9"/>
    <w:rsid w:val="00E077A5"/>
    <w:rsid w:val="00E13EC4"/>
    <w:rsid w:val="00E160EC"/>
    <w:rsid w:val="00E16592"/>
    <w:rsid w:val="00E2223C"/>
    <w:rsid w:val="00E37487"/>
    <w:rsid w:val="00E45256"/>
    <w:rsid w:val="00E55C99"/>
    <w:rsid w:val="00E61DED"/>
    <w:rsid w:val="00E64B2D"/>
    <w:rsid w:val="00E6710D"/>
    <w:rsid w:val="00E72152"/>
    <w:rsid w:val="00E77B79"/>
    <w:rsid w:val="00E82A11"/>
    <w:rsid w:val="00E82B87"/>
    <w:rsid w:val="00E84808"/>
    <w:rsid w:val="00E8605F"/>
    <w:rsid w:val="00E92410"/>
    <w:rsid w:val="00E9607E"/>
    <w:rsid w:val="00EC2541"/>
    <w:rsid w:val="00ED2625"/>
    <w:rsid w:val="00ED27C2"/>
    <w:rsid w:val="00ED4295"/>
    <w:rsid w:val="00EE49D7"/>
    <w:rsid w:val="00EF456C"/>
    <w:rsid w:val="00EF4D5F"/>
    <w:rsid w:val="00EF6A12"/>
    <w:rsid w:val="00F113F0"/>
    <w:rsid w:val="00F366E8"/>
    <w:rsid w:val="00F406C6"/>
    <w:rsid w:val="00F42139"/>
    <w:rsid w:val="00F43E65"/>
    <w:rsid w:val="00F44CBA"/>
    <w:rsid w:val="00F63E62"/>
    <w:rsid w:val="00F67D1E"/>
    <w:rsid w:val="00F73EE5"/>
    <w:rsid w:val="00F851F3"/>
    <w:rsid w:val="00F90369"/>
    <w:rsid w:val="00F9496B"/>
    <w:rsid w:val="00FA255F"/>
    <w:rsid w:val="00FB3242"/>
    <w:rsid w:val="00FD750A"/>
    <w:rsid w:val="00FE1157"/>
    <w:rsid w:val="00FE2902"/>
    <w:rsid w:val="00FF3DA5"/>
    <w:rsid w:val="55AD27D4"/>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9"/>
    <w:pPr>
      <w:keepNext/>
      <w:keepLines/>
      <w:spacing w:before="340" w:after="330" w:line="576" w:lineRule="auto"/>
      <w:outlineLvl w:val="0"/>
    </w:pPr>
    <w:rPr>
      <w:rFonts w:ascii="Calibri" w:hAnsi="Calibri"/>
      <w:b/>
      <w:bCs/>
      <w:kern w:val="44"/>
      <w:sz w:val="44"/>
      <w:szCs w:val="44"/>
    </w:rPr>
  </w:style>
  <w:style w:type="character" w:default="1" w:styleId="8">
    <w:name w:val="Default Paragraph Font"/>
    <w:unhideWhenUsed/>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7"/>
    <w:qFormat/>
    <w:uiPriority w:val="0"/>
    <w:rPr>
      <w:b/>
      <w:bCs/>
    </w:rPr>
  </w:style>
  <w:style w:type="paragraph" w:styleId="4">
    <w:name w:val="annotation text"/>
    <w:basedOn w:val="1"/>
    <w:link w:val="15"/>
    <w:uiPriority w:val="0"/>
    <w:pPr>
      <w:jc w:val="left"/>
    </w:pPr>
  </w:style>
  <w:style w:type="paragraph" w:styleId="5">
    <w:name w:val="Balloon Text"/>
    <w:basedOn w:val="1"/>
    <w:link w:val="14"/>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3"/>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uiPriority w:val="0"/>
  </w:style>
  <w:style w:type="character" w:styleId="10">
    <w:name w:val="Hyperlink"/>
    <w:qFormat/>
    <w:uiPriority w:val="0"/>
    <w:rPr>
      <w:color w:val="0000FF"/>
      <w:u w:val="single"/>
    </w:rPr>
  </w:style>
  <w:style w:type="character" w:styleId="11">
    <w:name w:val="annotation reference"/>
    <w:qFormat/>
    <w:uiPriority w:val="0"/>
    <w:rPr>
      <w:sz w:val="21"/>
      <w:szCs w:val="21"/>
    </w:rPr>
  </w:style>
  <w:style w:type="character" w:customStyle="1" w:styleId="13">
    <w:name w:val="页眉 Char"/>
    <w:link w:val="7"/>
    <w:uiPriority w:val="0"/>
    <w:rPr>
      <w:kern w:val="2"/>
      <w:sz w:val="18"/>
      <w:szCs w:val="18"/>
    </w:rPr>
  </w:style>
  <w:style w:type="character" w:customStyle="1" w:styleId="14">
    <w:name w:val="批注框文本 Char"/>
    <w:link w:val="5"/>
    <w:qFormat/>
    <w:uiPriority w:val="0"/>
    <w:rPr>
      <w:kern w:val="2"/>
      <w:sz w:val="18"/>
      <w:szCs w:val="18"/>
    </w:rPr>
  </w:style>
  <w:style w:type="character" w:customStyle="1" w:styleId="15">
    <w:name w:val="批注文字 Char"/>
    <w:link w:val="4"/>
    <w:qFormat/>
    <w:uiPriority w:val="0"/>
    <w:rPr>
      <w:kern w:val="2"/>
      <w:sz w:val="21"/>
      <w:szCs w:val="24"/>
    </w:rPr>
  </w:style>
  <w:style w:type="character" w:customStyle="1" w:styleId="16">
    <w:name w:val="标题 1 Char"/>
    <w:link w:val="2"/>
    <w:qFormat/>
    <w:uiPriority w:val="9"/>
    <w:rPr>
      <w:rFonts w:ascii="Calibri" w:hAnsi="Calibri"/>
      <w:b/>
      <w:bCs/>
      <w:kern w:val="44"/>
      <w:sz w:val="44"/>
      <w:szCs w:val="44"/>
    </w:rPr>
  </w:style>
  <w:style w:type="character" w:customStyle="1" w:styleId="17">
    <w:name w:val="批注主题 Char"/>
    <w:link w:val="3"/>
    <w:qFormat/>
    <w:uiPriority w:val="0"/>
    <w:rPr>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551</Words>
  <Characters>3144</Characters>
  <Lines>26</Lines>
  <Paragraphs>7</Paragraphs>
  <TotalTime>0</TotalTime>
  <ScaleCrop>false</ScaleCrop>
  <LinksUpToDate>false</LinksUpToDate>
  <CharactersWithSpaces>3688</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2016-10-08T11:54:00Z</dcterms:created>
  <dc:creator>zj</dc:creator>
  <cp:lastModifiedBy>gjy</cp:lastModifiedBy>
  <cp:lastPrinted>2016-09-30T09:11:00Z</cp:lastPrinted>
  <dcterms:modified xsi:type="dcterms:W3CDTF">2016-10-28T05:52:17Z</dcterms:modified>
  <dc:title>附件1：</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