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lang w:val="en-US"/>
        </w:rPr>
      </w:pPr>
      <w:r>
        <w:rPr>
          <w:rFonts w:hint="eastAsia" w:ascii="宋体" w:hAnsi="宋体"/>
          <w:b/>
          <w:color w:val="000000"/>
          <w:sz w:val="44"/>
          <w:szCs w:val="44"/>
        </w:rPr>
        <w:t>《资产评估价值类型指导意见》（修订征求意见稿）</w:t>
      </w:r>
      <w:r>
        <w:rPr>
          <w:rFonts w:hint="eastAsia" w:ascii="宋体" w:hAnsi="宋体"/>
          <w:b/>
          <w:color w:val="000000"/>
          <w:sz w:val="44"/>
          <w:szCs w:val="44"/>
          <w:lang w:val="en-US" w:eastAsia="zh-CN"/>
        </w:rPr>
        <w:t>主要修订内容介绍</w:t>
      </w:r>
    </w:p>
    <w:p>
      <w:pPr>
        <w:spacing w:line="480" w:lineRule="auto"/>
        <w:ind w:firstLine="600" w:firstLineChars="200"/>
        <w:jc w:val="center"/>
        <w:rPr>
          <w:rFonts w:ascii="宋体" w:hAnsi="宋体"/>
          <w:sz w:val="30"/>
          <w:szCs w:val="30"/>
        </w:rPr>
      </w:pPr>
    </w:p>
    <w:p>
      <w:pPr>
        <w:spacing w:line="480" w:lineRule="auto"/>
        <w:ind w:firstLine="643" w:firstLineChars="200"/>
        <w:rPr>
          <w:rFonts w:ascii="宋体" w:hAnsi="宋体"/>
          <w:b/>
          <w:sz w:val="30"/>
          <w:szCs w:val="30"/>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（一）原第十三条“在满足各自定义及相应使用条件的前提下，市场价值和市场价值以外的价值类型的评估结论都是合理的。</w:t>
      </w:r>
      <w:r>
        <w:rPr>
          <w:rFonts w:ascii="仿宋" w:hAnsi="仿宋" w:eastAsia="仿宋" w:cs="仿宋"/>
          <w:sz w:val="32"/>
          <w:szCs w:val="32"/>
        </w:rPr>
        <w:t>”</w:t>
      </w:r>
      <w:r>
        <w:rPr>
          <w:rFonts w:hint="eastAsia" w:ascii="仿宋" w:hAnsi="仿宋" w:eastAsia="仿宋" w:cs="仿宋"/>
          <w:sz w:val="32"/>
          <w:szCs w:val="32"/>
        </w:rPr>
        <w:t>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该条款无实际指导意义。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第二十</w:t>
      </w:r>
      <w:r>
        <w:rPr>
          <w:rFonts w:hint="eastAsia" w:ascii="仿宋" w:hAnsi="仿宋" w:eastAsia="仿宋" w:cs="仿宋"/>
          <w:sz w:val="32"/>
          <w:szCs w:val="32"/>
        </w:rPr>
        <w:t>五</w:t>
      </w:r>
      <w:r>
        <w:rPr>
          <w:rFonts w:ascii="仿宋" w:hAnsi="仿宋" w:eastAsia="仿宋" w:cs="仿宋"/>
          <w:sz w:val="32"/>
          <w:szCs w:val="32"/>
        </w:rPr>
        <w:t>条</w:t>
      </w:r>
      <w:r>
        <w:rPr>
          <w:rFonts w:hint="eastAsia" w:ascii="仿宋" w:hAnsi="仿宋" w:eastAsia="仿宋" w:cs="仿宋"/>
          <w:sz w:val="32"/>
          <w:szCs w:val="32"/>
        </w:rPr>
        <w:t>“注册资产评估师执行以财务报告为目的的资产评估业务，应当根据会计准则等相关规范关于会计计量的基本概念和要求，恰当选择市场价值或者市场价值以外的价值类型作为评估结论的价值类型。会计准则等相关规范涉及到的主要计量属性及价值定义包括公允价值、现值、可变现净值、重置成本等。在符合会计准则计量属性规定的条件时，会计准则下的公允价值等同于本指导意见下的市场价值；会计准则涉及的现值、可变现净值、重置成本等可以理解为本指导意见下的市场价值或者市场价值以外的价值类型。</w:t>
      </w:r>
      <w:r>
        <w:rPr>
          <w:rFonts w:ascii="仿宋" w:hAnsi="仿宋" w:eastAsia="仿宋" w:cs="仿宋"/>
          <w:sz w:val="32"/>
          <w:szCs w:val="32"/>
        </w:rPr>
        <w:t>”</w:t>
      </w:r>
      <w:r>
        <w:rPr>
          <w:rFonts w:hint="eastAsia" w:ascii="仿宋" w:hAnsi="仿宋" w:eastAsia="仿宋" w:cs="仿宋"/>
          <w:sz w:val="32"/>
          <w:szCs w:val="32"/>
        </w:rPr>
        <w:t>修改为现</w:t>
      </w:r>
      <w:r>
        <w:rPr>
          <w:rFonts w:ascii="仿宋" w:hAnsi="仿宋" w:eastAsia="仿宋" w:cs="仿宋"/>
          <w:sz w:val="32"/>
          <w:szCs w:val="32"/>
        </w:rPr>
        <w:t>第二十三条“</w:t>
      </w:r>
      <w:r>
        <w:rPr>
          <w:rFonts w:hint="eastAsia" w:ascii="仿宋" w:hAnsi="仿宋" w:eastAsia="仿宋" w:cs="仿宋"/>
          <w:sz w:val="32"/>
          <w:szCs w:val="32"/>
        </w:rPr>
        <w:t>执行以财务报告为目的的资产评估业务，应当根据会计准则或相关会计核算与披露的具体要求、评估对象等相关条件明确价值类型，会计准则规定的计量属性可以理解为相对应的评估价值类型。</w:t>
      </w:r>
      <w:r>
        <w:rPr>
          <w:rFonts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根据《以财务报告为目的的评估指南》修改。</w:t>
      </w:r>
    </w:p>
    <w:p>
      <w:pPr>
        <w:spacing w:line="480" w:lineRule="auto"/>
        <w:ind w:firstLine="600" w:firstLineChars="200"/>
        <w:rPr>
          <w:rFonts w:hint="eastAsia" w:ascii="宋体" w:hAnsi="宋体"/>
          <w:sz w:val="30"/>
          <w:szCs w:val="30"/>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（一）原第十二条中的“应当</w:t>
      </w:r>
      <w:r>
        <w:rPr>
          <w:rFonts w:hint="eastAsia" w:ascii="仿宋" w:hAnsi="仿宋" w:eastAsia="仿宋" w:cs="仿宋"/>
          <w:b/>
          <w:sz w:val="32"/>
          <w:szCs w:val="32"/>
        </w:rPr>
        <w:t>确信其符合本指导意见的基本要求</w:t>
      </w:r>
      <w:r>
        <w:rPr>
          <w:rFonts w:hint="eastAsia" w:ascii="仿宋" w:hAnsi="仿宋" w:eastAsia="仿宋" w:cs="仿宋"/>
          <w:sz w:val="32"/>
          <w:szCs w:val="32"/>
        </w:rPr>
        <w:t>，并在评估报告中披露</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现第十一条的“</w:t>
      </w:r>
      <w:r>
        <w:rPr>
          <w:rFonts w:hint="eastAsia" w:ascii="仿宋" w:hAnsi="仿宋" w:eastAsia="仿宋" w:cs="仿宋"/>
          <w:sz w:val="32"/>
          <w:szCs w:val="32"/>
        </w:rPr>
        <w:t>应当在评估报告中披露</w:t>
      </w:r>
      <w:r>
        <w:rPr>
          <w:rFonts w:ascii="仿宋" w:hAnsi="仿宋" w:eastAsia="仿宋" w:cs="仿宋"/>
          <w:sz w:val="32"/>
          <w:szCs w:val="32"/>
        </w:rPr>
        <w:t>”</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采用其他价值类型重在披露清楚。</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原第</w:t>
      </w:r>
      <w:r>
        <w:rPr>
          <w:rFonts w:ascii="仿宋" w:hAnsi="仿宋" w:eastAsia="仿宋" w:cs="仿宋"/>
          <w:sz w:val="32"/>
          <w:szCs w:val="32"/>
        </w:rPr>
        <w:t>十七条中的“</w:t>
      </w:r>
      <w:r>
        <w:rPr>
          <w:rFonts w:hint="eastAsia" w:ascii="仿宋" w:hAnsi="仿宋" w:eastAsia="仿宋" w:cs="仿宋"/>
          <w:sz w:val="32"/>
          <w:szCs w:val="32"/>
        </w:rPr>
        <w:t>当注册资产评估师所执行的资产评估业务对市场条件和评估对象的使用等并无特别限制和要求时</w:t>
      </w:r>
      <w:r>
        <w:rPr>
          <w:rFonts w:ascii="仿宋" w:hAnsi="仿宋" w:eastAsia="仿宋" w:cs="仿宋"/>
          <w:sz w:val="32"/>
          <w:szCs w:val="32"/>
        </w:rPr>
        <w:t>”</w:t>
      </w:r>
      <w:r>
        <w:rPr>
          <w:rFonts w:hint="eastAsia" w:ascii="仿宋" w:hAnsi="仿宋" w:eastAsia="仿宋" w:cs="仿宋"/>
          <w:sz w:val="32"/>
          <w:szCs w:val="32"/>
        </w:rPr>
        <w:t>、</w:t>
      </w:r>
      <w:r>
        <w:rPr>
          <w:rFonts w:ascii="仿宋" w:hAnsi="仿宋" w:eastAsia="仿宋" w:cs="仿宋"/>
          <w:sz w:val="32"/>
          <w:szCs w:val="32"/>
        </w:rPr>
        <w:t>“</w:t>
      </w:r>
      <w:r>
        <w:rPr>
          <w:rFonts w:hint="eastAsia" w:ascii="仿宋" w:hAnsi="仿宋" w:eastAsia="仿宋" w:cs="仿宋"/>
          <w:sz w:val="32"/>
          <w:szCs w:val="32"/>
        </w:rPr>
        <w:t>注册资产评估师在确定市场价值时</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现第十五条的“</w:t>
      </w:r>
      <w:r>
        <w:rPr>
          <w:rFonts w:hint="eastAsia" w:ascii="仿宋" w:hAnsi="仿宋" w:eastAsia="仿宋" w:cs="仿宋"/>
          <w:sz w:val="32"/>
          <w:szCs w:val="32"/>
        </w:rPr>
        <w:t>执行资产评估业务，</w:t>
      </w:r>
      <w:r>
        <w:rPr>
          <w:rFonts w:hint="eastAsia" w:ascii="仿宋" w:hAnsi="仿宋" w:eastAsia="仿宋" w:cs="仿宋"/>
          <w:b/>
          <w:sz w:val="32"/>
          <w:szCs w:val="32"/>
        </w:rPr>
        <w:t>当评估目的、评估对象等评估基本要素满足市场价值定义的要求时</w:t>
      </w:r>
      <w:r>
        <w:rPr>
          <w:rFonts w:ascii="仿宋" w:hAnsi="仿宋" w:eastAsia="仿宋" w:cs="仿宋"/>
          <w:sz w:val="32"/>
          <w:szCs w:val="32"/>
        </w:rPr>
        <w:t>”</w:t>
      </w:r>
      <w:r>
        <w:rPr>
          <w:rFonts w:hint="eastAsia" w:ascii="仿宋" w:hAnsi="仿宋" w:eastAsia="仿宋" w:cs="仿宋"/>
          <w:sz w:val="32"/>
          <w:szCs w:val="32"/>
        </w:rPr>
        <w:t>、</w:t>
      </w:r>
      <w:r>
        <w:rPr>
          <w:rFonts w:ascii="仿宋" w:hAnsi="仿宋" w:eastAsia="仿宋" w:cs="仿宋"/>
          <w:sz w:val="32"/>
          <w:szCs w:val="32"/>
        </w:rPr>
        <w:t>“</w:t>
      </w:r>
      <w:r>
        <w:rPr>
          <w:rFonts w:hint="eastAsia" w:ascii="仿宋" w:hAnsi="仿宋" w:eastAsia="仿宋" w:cs="仿宋"/>
          <w:sz w:val="32"/>
          <w:szCs w:val="32"/>
        </w:rPr>
        <w:t>资产评估师</w:t>
      </w:r>
      <w:r>
        <w:rPr>
          <w:rFonts w:hint="eastAsia" w:ascii="仿宋" w:hAnsi="仿宋" w:eastAsia="仿宋" w:cs="仿宋"/>
          <w:sz w:val="32"/>
          <w:szCs w:val="32"/>
          <w:lang w:eastAsia="zh-CN"/>
        </w:rPr>
        <w:t>和其他资产评估专业人员</w:t>
      </w:r>
      <w:bookmarkStart w:id="0" w:name="_GoBack"/>
      <w:bookmarkEnd w:id="0"/>
      <w:r>
        <w:rPr>
          <w:rFonts w:hint="eastAsia" w:ascii="仿宋" w:hAnsi="仿宋" w:eastAsia="仿宋" w:cs="仿宋"/>
          <w:b/>
          <w:sz w:val="32"/>
          <w:szCs w:val="32"/>
        </w:rPr>
        <w:t>选择市场价值作为价值类型</w:t>
      </w:r>
      <w:r>
        <w:rPr>
          <w:rFonts w:ascii="仿宋" w:hAnsi="仿宋" w:eastAsia="仿宋" w:cs="仿宋"/>
          <w:sz w:val="32"/>
          <w:szCs w:val="32"/>
        </w:rPr>
        <w:t>”</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理由：结合市场价值</w:t>
      </w:r>
      <w:r>
        <w:rPr>
          <w:rFonts w:hint="eastAsia" w:ascii="仿宋" w:hAnsi="仿宋" w:eastAsia="仿宋" w:cs="仿宋"/>
          <w:sz w:val="32"/>
          <w:szCs w:val="32"/>
        </w:rPr>
        <w:t>的</w:t>
      </w:r>
      <w:r>
        <w:rPr>
          <w:rFonts w:ascii="仿宋" w:hAnsi="仿宋" w:eastAsia="仿宋" w:cs="仿宋"/>
          <w:sz w:val="32"/>
          <w:szCs w:val="32"/>
        </w:rPr>
        <w:t>定义</w:t>
      </w:r>
      <w:r>
        <w:rPr>
          <w:rFonts w:hint="eastAsia" w:ascii="仿宋" w:hAnsi="仿宋" w:eastAsia="仿宋" w:cs="仿宋"/>
          <w:sz w:val="32"/>
          <w:szCs w:val="32"/>
        </w:rPr>
        <w:t>对</w:t>
      </w:r>
      <w:r>
        <w:rPr>
          <w:rFonts w:ascii="仿宋" w:hAnsi="仿宋" w:eastAsia="仿宋" w:cs="仿宋"/>
          <w:sz w:val="32"/>
          <w:szCs w:val="32"/>
        </w:rPr>
        <w:t>选择</w:t>
      </w:r>
      <w:r>
        <w:rPr>
          <w:rFonts w:hint="eastAsia" w:ascii="仿宋" w:hAnsi="仿宋" w:eastAsia="仿宋" w:cs="仿宋"/>
          <w:sz w:val="32"/>
          <w:szCs w:val="32"/>
        </w:rPr>
        <w:t>市场</w:t>
      </w:r>
      <w:r>
        <w:rPr>
          <w:rFonts w:ascii="仿宋" w:hAnsi="仿宋" w:eastAsia="仿宋" w:cs="仿宋"/>
          <w:sz w:val="32"/>
          <w:szCs w:val="32"/>
        </w:rPr>
        <w:t>价值的情形进行规范</w:t>
      </w:r>
      <w:r>
        <w:rPr>
          <w:rFonts w:hint="eastAsia" w:ascii="仿宋" w:hAnsi="仿宋" w:eastAsia="仿宋" w:cs="仿宋"/>
          <w:sz w:val="32"/>
          <w:szCs w:val="32"/>
        </w:rPr>
        <w:t>；调整</w:t>
      </w:r>
      <w:r>
        <w:rPr>
          <w:rFonts w:ascii="仿宋" w:hAnsi="仿宋" w:eastAsia="仿宋" w:cs="仿宋"/>
          <w:sz w:val="32"/>
          <w:szCs w:val="32"/>
        </w:rPr>
        <w:t>文字表述。</w:t>
      </w:r>
    </w:p>
    <w:p>
      <w:pPr>
        <w:spacing w:line="480" w:lineRule="auto"/>
        <w:ind w:firstLine="640" w:firstLineChars="200"/>
        <w:rPr>
          <w:rFonts w:ascii="仿宋" w:hAnsi="仿宋" w:eastAsia="仿宋" w:cs="仿宋"/>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411"/>
    <w:rsid w:val="00013D71"/>
    <w:rsid w:val="001B3C61"/>
    <w:rsid w:val="001D268F"/>
    <w:rsid w:val="001D4172"/>
    <w:rsid w:val="00200411"/>
    <w:rsid w:val="00220EB2"/>
    <w:rsid w:val="0023407F"/>
    <w:rsid w:val="00234B9D"/>
    <w:rsid w:val="002901D9"/>
    <w:rsid w:val="002D3F82"/>
    <w:rsid w:val="0030317A"/>
    <w:rsid w:val="003258D3"/>
    <w:rsid w:val="00395DFA"/>
    <w:rsid w:val="003A7618"/>
    <w:rsid w:val="003E21DF"/>
    <w:rsid w:val="004701F7"/>
    <w:rsid w:val="00503127"/>
    <w:rsid w:val="005638D4"/>
    <w:rsid w:val="00572FF8"/>
    <w:rsid w:val="005C486A"/>
    <w:rsid w:val="005D7E02"/>
    <w:rsid w:val="007B5DD1"/>
    <w:rsid w:val="007D6237"/>
    <w:rsid w:val="00886B96"/>
    <w:rsid w:val="008D22A9"/>
    <w:rsid w:val="00967899"/>
    <w:rsid w:val="00987279"/>
    <w:rsid w:val="009D1C3D"/>
    <w:rsid w:val="00A97E4D"/>
    <w:rsid w:val="00AF6BA7"/>
    <w:rsid w:val="00B503CF"/>
    <w:rsid w:val="00B70B08"/>
    <w:rsid w:val="00BC6CD5"/>
    <w:rsid w:val="00C00257"/>
    <w:rsid w:val="00C4226A"/>
    <w:rsid w:val="00C678C1"/>
    <w:rsid w:val="00CA4565"/>
    <w:rsid w:val="00D05A4E"/>
    <w:rsid w:val="00E0173D"/>
    <w:rsid w:val="00E037EC"/>
    <w:rsid w:val="00E772EF"/>
    <w:rsid w:val="00E85E0F"/>
    <w:rsid w:val="00F44629"/>
    <w:rsid w:val="08564501"/>
    <w:rsid w:val="193548C7"/>
    <w:rsid w:val="73DE27D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rFonts w:ascii="Times New Roman" w:hAnsi="Times New Roman" w:eastAsia="宋体" w:cs="Times New Roman"/>
      <w:sz w:val="18"/>
      <w:szCs w:val="18"/>
    </w:rPr>
  </w:style>
  <w:style w:type="character" w:customStyle="1" w:styleId="7">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115</Words>
  <Characters>657</Characters>
  <Lines>5</Lines>
  <Paragraphs>1</Paragraphs>
  <ScaleCrop>false</ScaleCrop>
  <LinksUpToDate>false</LinksUpToDate>
  <CharactersWithSpaces>771</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2016-10-12T05:25:00Z</dcterms:created>
  <dc:creator>WangChonghu</dc:creator>
  <cp:lastModifiedBy>gjy</cp:lastModifiedBy>
  <cp:lastPrinted>2016-10-25T03:13:00Z</cp:lastPrinted>
  <dcterms:modified xsi:type="dcterms:W3CDTF">2016-10-28T02:53:48Z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