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00" w:lineRule="exact"/>
        <w:jc w:val="center"/>
        <w:rPr>
          <w:rFonts w:ascii="方正小标宋简体" w:hAnsi="华文中宋" w:eastAsia="方正小标宋简体"/>
          <w:sz w:val="36"/>
          <w:szCs w:val="36"/>
        </w:rPr>
      </w:pPr>
      <w:r>
        <w:rPr>
          <w:rFonts w:hint="eastAsia" w:ascii="方正小标宋简体" w:hAnsi="华文中宋" w:eastAsia="方正小标宋简体"/>
          <w:sz w:val="36"/>
          <w:szCs w:val="36"/>
        </w:rPr>
        <w:t>资产评估价值类型指导意见</w:t>
      </w:r>
    </w:p>
    <w:p>
      <w:pPr>
        <w:autoSpaceDE w:val="0"/>
        <w:autoSpaceDN w:val="0"/>
        <w:adjustRightInd w:val="0"/>
        <w:spacing w:beforeLines="50" w:line="360" w:lineRule="auto"/>
        <w:jc w:val="center"/>
        <w:rPr>
          <w:rFonts w:ascii="方正小标宋简体" w:hAnsi="华文中宋" w:eastAsia="方正小标宋简体"/>
          <w:sz w:val="32"/>
          <w:szCs w:val="32"/>
        </w:rPr>
      </w:pPr>
      <w:r>
        <w:rPr>
          <w:rFonts w:hint="eastAsia" w:ascii="方正小标宋简体" w:hAnsi="华文中宋" w:eastAsia="方正小标宋简体"/>
          <w:sz w:val="32"/>
          <w:szCs w:val="32"/>
        </w:rPr>
        <w:t>（</w:t>
      </w:r>
      <w:bookmarkStart w:id="0" w:name="_GoBack"/>
      <w:bookmarkEnd w:id="0"/>
      <w:r>
        <w:rPr>
          <w:rFonts w:hint="eastAsia" w:ascii="方正小标宋简体" w:hAnsi="华文中宋" w:eastAsia="方正小标宋简体"/>
          <w:sz w:val="32"/>
          <w:szCs w:val="32"/>
        </w:rPr>
        <w:t>修订征求意见稿）</w:t>
      </w:r>
    </w:p>
    <w:p>
      <w:pPr>
        <w:snapToGrid w:val="0"/>
        <w:rPr>
          <w:rFonts w:ascii="宋体" w:hAnsi="宋体"/>
          <w:sz w:val="28"/>
          <w:szCs w:val="28"/>
        </w:rPr>
      </w:pPr>
    </w:p>
    <w:p>
      <w:pPr>
        <w:snapToGrid w:val="0"/>
        <w:jc w:val="center"/>
        <w:rPr>
          <w:rFonts w:ascii="宋体" w:hAnsi="宋体"/>
          <w:b/>
          <w:sz w:val="28"/>
          <w:szCs w:val="28"/>
        </w:rPr>
      </w:pPr>
      <w:r>
        <w:rPr>
          <w:rFonts w:hint="eastAsia" w:ascii="宋体" w:hAnsi="宋体"/>
          <w:b/>
          <w:sz w:val="28"/>
          <w:szCs w:val="28"/>
        </w:rPr>
        <w:t>第一章   总  则</w:t>
      </w:r>
    </w:p>
    <w:p>
      <w:pPr>
        <w:snapToGrid w:val="0"/>
        <w:rPr>
          <w:rFonts w:ascii="宋体" w:hAnsi="宋体"/>
          <w:sz w:val="28"/>
          <w:szCs w:val="28"/>
        </w:rPr>
      </w:pPr>
    </w:p>
    <w:p>
      <w:pPr>
        <w:snapToGrid w:val="0"/>
        <w:spacing w:line="360" w:lineRule="auto"/>
        <w:ind w:firstLine="549" w:firstLineChars="196"/>
        <w:rPr>
          <w:rFonts w:ascii="宋体" w:hAnsi="宋体"/>
          <w:sz w:val="28"/>
          <w:szCs w:val="28"/>
        </w:rPr>
      </w:pPr>
      <w:r>
        <w:rPr>
          <w:rFonts w:hint="eastAsia" w:ascii="宋体" w:hAnsi="宋体"/>
          <w:sz w:val="28"/>
          <w:szCs w:val="28"/>
        </w:rPr>
        <w:t>第一条  为规范资产评估师和其他资产评估专业人员选择、使用和定义价值类型行为，保护资产评估当事人的合法权益和公共利益，根据《资产评估准则——基本准则》，制定本指导意见。</w:t>
      </w:r>
    </w:p>
    <w:p>
      <w:pPr>
        <w:snapToGrid w:val="0"/>
        <w:spacing w:line="360" w:lineRule="auto"/>
        <w:ind w:firstLine="549" w:firstLineChars="196"/>
        <w:rPr>
          <w:rFonts w:ascii="宋体" w:hAnsi="宋体"/>
          <w:sz w:val="28"/>
          <w:szCs w:val="28"/>
        </w:rPr>
      </w:pPr>
      <w:r>
        <w:rPr>
          <w:rFonts w:hint="eastAsia" w:ascii="宋体" w:hAnsi="宋体"/>
          <w:sz w:val="28"/>
          <w:szCs w:val="28"/>
        </w:rPr>
        <w:t>第二条  本指导意见所称资产评估价值类型包括市场价值和市场价值以外的价值类型。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第三条  执行资产评估业务，应当遵守本指导意见。</w:t>
      </w:r>
    </w:p>
    <w:p>
      <w:pPr>
        <w:snapToGrid w:val="0"/>
        <w:ind w:firstLine="557" w:firstLineChars="198"/>
        <w:jc w:val="center"/>
        <w:rPr>
          <w:rFonts w:ascii="宋体" w:hAnsi="宋体"/>
          <w:b/>
          <w:sz w:val="28"/>
          <w:szCs w:val="28"/>
        </w:rPr>
      </w:pPr>
    </w:p>
    <w:p>
      <w:pPr>
        <w:snapToGrid w:val="0"/>
        <w:ind w:left="420"/>
        <w:jc w:val="center"/>
        <w:rPr>
          <w:rFonts w:ascii="宋体" w:hAnsi="宋体"/>
          <w:b/>
          <w:sz w:val="28"/>
          <w:szCs w:val="28"/>
        </w:rPr>
      </w:pPr>
      <w:r>
        <w:rPr>
          <w:rFonts w:hint="eastAsia" w:ascii="宋体" w:hAnsi="宋体"/>
          <w:b/>
          <w:sz w:val="28"/>
          <w:szCs w:val="28"/>
        </w:rPr>
        <w:t>第二章 价值类型及其定义</w:t>
      </w:r>
    </w:p>
    <w:p>
      <w:pPr>
        <w:snapToGrid w:val="0"/>
        <w:ind w:left="420"/>
        <w:jc w:val="center"/>
        <w:rPr>
          <w:rFonts w:ascii="宋体" w:hAnsi="宋体"/>
          <w:b/>
          <w:sz w:val="28"/>
          <w:szCs w:val="28"/>
        </w:rPr>
      </w:pPr>
    </w:p>
    <w:p>
      <w:pPr>
        <w:snapToGrid w:val="0"/>
        <w:spacing w:line="360" w:lineRule="auto"/>
        <w:ind w:firstLine="549" w:firstLineChars="196"/>
        <w:rPr>
          <w:rFonts w:ascii="宋体" w:hAnsi="宋体"/>
          <w:sz w:val="28"/>
          <w:szCs w:val="28"/>
        </w:rPr>
      </w:pPr>
      <w:r>
        <w:rPr>
          <w:rFonts w:hint="eastAsia" w:ascii="宋体" w:hAnsi="宋体"/>
          <w:sz w:val="28"/>
          <w:szCs w:val="28"/>
        </w:rPr>
        <w:t>第四条  市场价值是指，在公开、活跃市场条件下，具有一定数量的买方和卖方各自理性行事且未受任何强迫时，评估对象在评估基准日的公平交易价值。</w:t>
      </w:r>
    </w:p>
    <w:p>
      <w:pPr>
        <w:snapToGrid w:val="0"/>
        <w:spacing w:line="360" w:lineRule="auto"/>
        <w:ind w:firstLine="549" w:firstLineChars="196"/>
        <w:rPr>
          <w:rFonts w:ascii="宋体" w:hAnsi="宋体"/>
          <w:sz w:val="28"/>
          <w:szCs w:val="28"/>
        </w:rPr>
      </w:pPr>
      <w:r>
        <w:rPr>
          <w:rFonts w:hint="eastAsia" w:ascii="宋体" w:hAnsi="宋体"/>
          <w:sz w:val="28"/>
          <w:szCs w:val="28"/>
        </w:rPr>
        <w:t>第五条  市场价值以外的价值类型包括投资价值、在用价值、清算价值、残余价值等。</w:t>
      </w:r>
    </w:p>
    <w:p>
      <w:pPr>
        <w:snapToGrid w:val="0"/>
        <w:spacing w:line="360" w:lineRule="auto"/>
        <w:ind w:firstLine="549" w:firstLineChars="196"/>
        <w:rPr>
          <w:rFonts w:ascii="宋体" w:hAnsi="宋体"/>
          <w:sz w:val="28"/>
          <w:szCs w:val="28"/>
        </w:rPr>
      </w:pPr>
      <w:r>
        <w:rPr>
          <w:rFonts w:hint="eastAsia" w:ascii="宋体" w:hAnsi="宋体"/>
          <w:sz w:val="28"/>
          <w:szCs w:val="28"/>
        </w:rPr>
        <w:t xml:space="preserve"> 第六条  投资价值是指评估对象对于具有明确投资目标的特定投资者或者某一类投资者所具有的价值估计数额，亦称特定投资者价值。</w:t>
      </w:r>
    </w:p>
    <w:p>
      <w:pPr>
        <w:snapToGrid w:val="0"/>
        <w:spacing w:line="360" w:lineRule="auto"/>
        <w:ind w:firstLine="549" w:firstLineChars="196"/>
        <w:rPr>
          <w:rFonts w:ascii="宋体" w:hAnsi="宋体"/>
          <w:sz w:val="28"/>
          <w:szCs w:val="28"/>
        </w:rPr>
      </w:pPr>
      <w:r>
        <w:rPr>
          <w:rFonts w:hint="eastAsia" w:ascii="宋体" w:hAnsi="宋体"/>
          <w:sz w:val="28"/>
          <w:szCs w:val="28"/>
        </w:rPr>
        <w:t>第七条  在用价值是指将评估对象作为企业组成部分或者要素资产按其正在使用方式和程度及其对所属企业的贡献的价值估计数额。</w:t>
      </w:r>
    </w:p>
    <w:p>
      <w:pPr>
        <w:snapToGrid w:val="0"/>
        <w:spacing w:line="360" w:lineRule="auto"/>
        <w:ind w:firstLine="549" w:firstLineChars="196"/>
        <w:rPr>
          <w:rFonts w:ascii="宋体" w:hAnsi="宋体"/>
          <w:sz w:val="28"/>
          <w:szCs w:val="28"/>
        </w:rPr>
      </w:pPr>
      <w:r>
        <w:rPr>
          <w:rFonts w:hint="eastAsia" w:ascii="宋体" w:hAnsi="宋体"/>
          <w:sz w:val="28"/>
          <w:szCs w:val="28"/>
        </w:rPr>
        <w:t>第八条  清算价值是指在评估对象处于被迫出售、快速变现等非正常市场条件下的价值估计数额。</w:t>
      </w:r>
    </w:p>
    <w:p>
      <w:pPr>
        <w:snapToGrid w:val="0"/>
        <w:spacing w:line="360" w:lineRule="auto"/>
        <w:ind w:firstLine="549" w:firstLineChars="196"/>
        <w:rPr>
          <w:rFonts w:ascii="宋体" w:hAnsi="宋体"/>
          <w:sz w:val="28"/>
          <w:szCs w:val="28"/>
        </w:rPr>
      </w:pPr>
      <w:r>
        <w:rPr>
          <w:rFonts w:hint="eastAsia" w:ascii="宋体" w:hAnsi="宋体"/>
          <w:sz w:val="28"/>
          <w:szCs w:val="28"/>
        </w:rPr>
        <w:t>第九条  残余价值是指机器设备、房屋建筑物或者其他有形资产等的拆零变现价值估计数额。</w:t>
      </w:r>
    </w:p>
    <w:p>
      <w:pPr>
        <w:snapToGrid w:val="0"/>
        <w:spacing w:line="360" w:lineRule="auto"/>
        <w:ind w:firstLine="549" w:firstLineChars="196"/>
        <w:rPr>
          <w:rFonts w:ascii="宋体" w:hAnsi="宋体"/>
          <w:sz w:val="28"/>
          <w:szCs w:val="28"/>
        </w:rPr>
      </w:pPr>
      <w:r>
        <w:rPr>
          <w:rFonts w:hint="eastAsia" w:ascii="宋体" w:hAnsi="宋体"/>
          <w:sz w:val="28"/>
          <w:szCs w:val="28"/>
        </w:rPr>
        <w:t>第十条  法律、法规或者契约对价值类型有规定或约定的，应按其规定或约定选择价值类型；没有规定或约定的，可以根据实际情况选择市场价值或者市场价值以外的价值类型。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第十一条  执行资产评估业务，应当合理考虑本指导意见与其他相关准则的协调。采用本指导意见规定之外的价值类型时，应当在评估报告中披露。</w:t>
      </w:r>
    </w:p>
    <w:p>
      <w:pPr>
        <w:widowControl/>
        <w:adjustRightInd w:val="0"/>
        <w:snapToGrid w:val="0"/>
        <w:spacing w:line="460" w:lineRule="exact"/>
        <w:ind w:left="21" w:leftChars="10" w:firstLine="560" w:firstLineChars="200"/>
        <w:rPr>
          <w:rFonts w:ascii="宋体" w:hAnsi="宋体"/>
          <w:sz w:val="28"/>
          <w:szCs w:val="28"/>
        </w:rPr>
      </w:pPr>
    </w:p>
    <w:p>
      <w:pPr>
        <w:snapToGrid w:val="0"/>
        <w:jc w:val="center"/>
        <w:rPr>
          <w:rFonts w:ascii="宋体" w:hAnsi="宋体"/>
          <w:b/>
          <w:sz w:val="28"/>
          <w:szCs w:val="28"/>
        </w:rPr>
      </w:pPr>
      <w:r>
        <w:rPr>
          <w:rFonts w:hint="eastAsia" w:ascii="宋体" w:hAnsi="宋体"/>
          <w:b/>
          <w:sz w:val="28"/>
          <w:szCs w:val="28"/>
        </w:rPr>
        <w:t>第三章  价值类型的选择和使用</w:t>
      </w:r>
    </w:p>
    <w:p>
      <w:pPr>
        <w:snapToGrid w:val="0"/>
        <w:spacing w:line="360" w:lineRule="auto"/>
        <w:ind w:firstLine="549" w:firstLineChars="196"/>
        <w:rPr>
          <w:rFonts w:ascii="宋体" w:hAnsi="宋体"/>
          <w:sz w:val="28"/>
          <w:szCs w:val="28"/>
        </w:rPr>
      </w:pPr>
    </w:p>
    <w:p>
      <w:pPr>
        <w:snapToGrid w:val="0"/>
        <w:spacing w:line="360" w:lineRule="auto"/>
        <w:ind w:firstLine="549" w:firstLineChars="196"/>
        <w:rPr>
          <w:rFonts w:ascii="宋体" w:hAnsi="宋体"/>
          <w:sz w:val="28"/>
          <w:szCs w:val="28"/>
        </w:rPr>
      </w:pPr>
      <w:r>
        <w:rPr>
          <w:rFonts w:hint="eastAsia" w:ascii="宋体" w:hAnsi="宋体"/>
          <w:sz w:val="28"/>
          <w:szCs w:val="28"/>
        </w:rPr>
        <w:t>第十二条  执行资产评估业务，选择和使用价值类型，应当充分考虑评估目的、市场条件、评估对象自身条件等因素。</w:t>
      </w:r>
    </w:p>
    <w:p>
      <w:pPr>
        <w:snapToGrid w:val="0"/>
        <w:spacing w:line="360" w:lineRule="auto"/>
        <w:ind w:firstLine="549" w:firstLineChars="196"/>
        <w:rPr>
          <w:rFonts w:ascii="宋体" w:hAnsi="宋体"/>
          <w:sz w:val="28"/>
          <w:szCs w:val="28"/>
        </w:rPr>
      </w:pPr>
      <w:r>
        <w:rPr>
          <w:rFonts w:hint="eastAsia" w:ascii="宋体" w:hAnsi="宋体"/>
          <w:sz w:val="28"/>
          <w:szCs w:val="28"/>
        </w:rPr>
        <w:t>第十三条  资产评估师和其他资产评估专业人员选择价值类型，应当考虑价值类型与评估假设的相关性。</w:t>
      </w:r>
    </w:p>
    <w:p>
      <w:pPr>
        <w:snapToGrid w:val="0"/>
        <w:spacing w:line="360" w:lineRule="auto"/>
        <w:ind w:firstLine="549" w:firstLineChars="196"/>
        <w:rPr>
          <w:rFonts w:ascii="宋体" w:hAnsi="宋体"/>
          <w:sz w:val="28"/>
          <w:szCs w:val="28"/>
        </w:rPr>
      </w:pPr>
      <w:r>
        <w:rPr>
          <w:rFonts w:hint="eastAsia" w:ascii="宋体" w:hAnsi="宋体"/>
          <w:sz w:val="28"/>
          <w:szCs w:val="28"/>
        </w:rPr>
        <w:t>第十四条  评估方法是估计和判断市场价值和市场价值以外的价值类型评估结果的技术手段，某一种价值类型下的评估结果可以通过一种或者多种评估方法得出。</w:t>
      </w:r>
    </w:p>
    <w:p>
      <w:pPr>
        <w:snapToGrid w:val="0"/>
        <w:spacing w:line="360" w:lineRule="auto"/>
        <w:ind w:firstLine="549" w:firstLineChars="196"/>
        <w:rPr>
          <w:rFonts w:ascii="宋体" w:hAnsi="宋体"/>
          <w:sz w:val="28"/>
          <w:szCs w:val="28"/>
        </w:rPr>
      </w:pPr>
      <w:r>
        <w:rPr>
          <w:rFonts w:hint="eastAsia" w:ascii="宋体" w:hAnsi="宋体"/>
          <w:sz w:val="28"/>
          <w:szCs w:val="28"/>
        </w:rPr>
        <w:t>第十五条  执行资产评估业务，当评估目的、评估对象等评估基本要素满足市场价值定义的要求时，通常应当选择市场价值作为评估结果的价值类型。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资产评估师和其他资产评估专业人员选择市场价值作为价值类型，应当知晓同一资产在不同市场的价值可能存在差异。</w:t>
      </w:r>
    </w:p>
    <w:p>
      <w:pPr>
        <w:snapToGrid w:val="0"/>
        <w:spacing w:line="360" w:lineRule="auto"/>
        <w:ind w:firstLine="549" w:firstLineChars="196"/>
        <w:rPr>
          <w:rFonts w:ascii="宋体" w:hAnsi="宋体"/>
          <w:sz w:val="28"/>
          <w:szCs w:val="28"/>
        </w:rPr>
      </w:pPr>
      <w:r>
        <w:rPr>
          <w:rFonts w:hint="eastAsia" w:ascii="宋体" w:hAnsi="宋体"/>
          <w:sz w:val="28"/>
          <w:szCs w:val="28"/>
        </w:rPr>
        <w:t>第十六条  执行资产评估业务，当评估业务针对的是特定投资者或者某一类投资者，并在评估业务执行过程中充分考虑并使用了仅适用于特定投资者或者某一类投资者的特定评估资料和经济技术参数时，通常应当选择投资价值作为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第十七条  执行资产评估业务，评估对象是企业或者整体资产中的要素资产，并在评估业务执行过程中只考虑了该要素资产正在使用的方式和贡献程度，没有考虑该资产作为独立资产所具有的效用及在公开市场上交易等对评估结果的影响，通常应当选择在用价值作为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第十八条  执行资产评估业务，当评估对象面临被迫出售、快速变现或者评估对象具有潜在被迫出售、快速变现等情况时，通常应当选择清算价值作为评估结果的价值类型。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第十九条  执行资产评估业务，当评估对象无法或者不宜整体使用时，通常应当考虑评估对象的拆零变现，并选择残余价值作为评估结果的价值类型。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第二十条  执行以抵（质）押为目的的资产评估业务，应当根据担保法等相关法律、法规及金融监管机关的规定选择评估结果的价值类型；相关法律、法规及金融监管机关没有规定的，可以根据实际情况选择市场价值或者市场价值以外的价值类型作为抵（质）押物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第二十一条  执行以税收为目的的资产评估业务，应当根据税法等相关法律、法规的规定选择评估结果的价值类型；相关法律、法规没有规定的，可以根据实际情况选择市场价值或者市场价值以外的价值类型作为课税对象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第二十二条  执行以保险为目的的资产评估业务，应当根据保险法等相关法律、法规和契约的规定选择评估结果的价值类型；相关法律、法规或者契约没有规定的，可以根据实际情况选择市场价值或者市场价值以外的价值类型作为保险标的物评估结果的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第二十三条  执行以财务报告为目的的资产评估业务，应当根据会计准则或相关会计核算与披露的具体要求、评估对象等相关条件明确价值类型，会计准则规定的计量属性可以理解为相对应的评估价值类型。</w:t>
      </w:r>
    </w:p>
    <w:p>
      <w:pPr>
        <w:snapToGrid w:val="0"/>
        <w:spacing w:line="360" w:lineRule="auto"/>
        <w:ind w:firstLine="549" w:firstLineChars="196"/>
        <w:rPr>
          <w:rFonts w:ascii="宋体" w:hAnsi="宋体"/>
          <w:sz w:val="28"/>
          <w:szCs w:val="28"/>
        </w:rPr>
      </w:pPr>
      <w:r>
        <w:rPr>
          <w:rFonts w:hint="eastAsia" w:ascii="宋体" w:hAnsi="宋体"/>
          <w:sz w:val="28"/>
          <w:szCs w:val="28"/>
        </w:rPr>
        <w:t>第二十四条  资产评估师和其他资产评估专业人员应当根据《资产评估准则——资产评估报告》对价值类型及其定义进行披露。</w:t>
      </w:r>
    </w:p>
    <w:p>
      <w:pPr>
        <w:snapToGrid w:val="0"/>
        <w:ind w:firstLine="551" w:firstLineChars="196"/>
        <w:jc w:val="center"/>
        <w:rPr>
          <w:rFonts w:ascii="宋体" w:hAnsi="宋体"/>
          <w:b/>
          <w:sz w:val="28"/>
          <w:szCs w:val="28"/>
        </w:rPr>
      </w:pPr>
    </w:p>
    <w:p>
      <w:pPr>
        <w:snapToGrid w:val="0"/>
        <w:jc w:val="center"/>
        <w:rPr>
          <w:rFonts w:ascii="宋体" w:hAnsi="宋体"/>
          <w:b/>
          <w:sz w:val="28"/>
          <w:szCs w:val="28"/>
        </w:rPr>
      </w:pPr>
      <w:r>
        <w:rPr>
          <w:rFonts w:hint="eastAsia" w:ascii="宋体" w:hAnsi="宋体"/>
          <w:b/>
          <w:sz w:val="28"/>
          <w:szCs w:val="28"/>
        </w:rPr>
        <w:t>第四章  附  则</w:t>
      </w:r>
    </w:p>
    <w:p>
      <w:pPr>
        <w:snapToGrid w:val="0"/>
        <w:ind w:left="470"/>
        <w:jc w:val="center"/>
        <w:rPr>
          <w:rFonts w:ascii="宋体" w:hAnsi="宋体"/>
          <w:b/>
          <w:sz w:val="28"/>
          <w:szCs w:val="28"/>
        </w:rPr>
      </w:pPr>
    </w:p>
    <w:p>
      <w:pPr>
        <w:snapToGrid w:val="0"/>
        <w:spacing w:line="360" w:lineRule="auto"/>
        <w:ind w:firstLine="549" w:firstLineChars="196"/>
        <w:rPr>
          <w:rFonts w:ascii="宋体" w:hAnsi="宋体"/>
          <w:sz w:val="28"/>
          <w:szCs w:val="28"/>
        </w:rPr>
      </w:pPr>
      <w:r>
        <w:rPr>
          <w:rFonts w:hint="eastAsia" w:ascii="宋体" w:hAnsi="宋体"/>
          <w:sz w:val="28"/>
          <w:szCs w:val="28"/>
        </w:rPr>
        <w:t>第二十五条  本指导意见自＿年＿月＿日起施行。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A46D5"/>
    <w:rsid w:val="0001005B"/>
    <w:rsid w:val="00040FD6"/>
    <w:rsid w:val="00076D83"/>
    <w:rsid w:val="00083308"/>
    <w:rsid w:val="000A0737"/>
    <w:rsid w:val="000E5D35"/>
    <w:rsid w:val="00153FFC"/>
    <w:rsid w:val="001618E9"/>
    <w:rsid w:val="0017688A"/>
    <w:rsid w:val="00190B2A"/>
    <w:rsid w:val="001A46D5"/>
    <w:rsid w:val="001B5C79"/>
    <w:rsid w:val="001C5D3E"/>
    <w:rsid w:val="0020407B"/>
    <w:rsid w:val="002A417A"/>
    <w:rsid w:val="002C7BDA"/>
    <w:rsid w:val="00313955"/>
    <w:rsid w:val="003319E2"/>
    <w:rsid w:val="003C2AEB"/>
    <w:rsid w:val="003D1B23"/>
    <w:rsid w:val="004365A1"/>
    <w:rsid w:val="00462198"/>
    <w:rsid w:val="004F3294"/>
    <w:rsid w:val="00507B81"/>
    <w:rsid w:val="00580DF8"/>
    <w:rsid w:val="00584AE7"/>
    <w:rsid w:val="005B4402"/>
    <w:rsid w:val="005B45CC"/>
    <w:rsid w:val="0060575C"/>
    <w:rsid w:val="006206F2"/>
    <w:rsid w:val="00637DB1"/>
    <w:rsid w:val="006C0E74"/>
    <w:rsid w:val="006E3FD5"/>
    <w:rsid w:val="00715F43"/>
    <w:rsid w:val="00760B46"/>
    <w:rsid w:val="00776F69"/>
    <w:rsid w:val="007C03AE"/>
    <w:rsid w:val="007E46BD"/>
    <w:rsid w:val="00852560"/>
    <w:rsid w:val="008A7EF6"/>
    <w:rsid w:val="008C07AC"/>
    <w:rsid w:val="008E5365"/>
    <w:rsid w:val="009676C2"/>
    <w:rsid w:val="00997DE4"/>
    <w:rsid w:val="00A2279F"/>
    <w:rsid w:val="00A30ECA"/>
    <w:rsid w:val="00A40CDC"/>
    <w:rsid w:val="00A57687"/>
    <w:rsid w:val="00B718BB"/>
    <w:rsid w:val="00B85901"/>
    <w:rsid w:val="00BB40C2"/>
    <w:rsid w:val="00C5734F"/>
    <w:rsid w:val="00C772A0"/>
    <w:rsid w:val="00CA6657"/>
    <w:rsid w:val="00CB64EB"/>
    <w:rsid w:val="00CB7CC5"/>
    <w:rsid w:val="00DA27A6"/>
    <w:rsid w:val="00DC0E70"/>
    <w:rsid w:val="00E22907"/>
    <w:rsid w:val="00E708EB"/>
    <w:rsid w:val="00F0745D"/>
    <w:rsid w:val="00F85FF5"/>
    <w:rsid w:val="77975D2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iPriority w:val="0"/>
    <w:rPr>
      <w:b/>
      <w:bCs/>
    </w:rPr>
  </w:style>
  <w:style w:type="paragraph" w:styleId="3">
    <w:name w:val="annotation text"/>
    <w:basedOn w:val="1"/>
    <w:link w:val="14"/>
    <w:uiPriority w:val="0"/>
    <w:pPr>
      <w:jc w:val="left"/>
    </w:pPr>
  </w:style>
  <w:style w:type="paragraph" w:styleId="4">
    <w:name w:val="Plain Text"/>
    <w:basedOn w:val="1"/>
    <w:uiPriority w:val="0"/>
    <w:pPr>
      <w:widowControl/>
      <w:spacing w:before="100" w:beforeAutospacing="1" w:after="100" w:afterAutospacing="1"/>
      <w:jc w:val="left"/>
    </w:pPr>
    <w:rPr>
      <w:rFonts w:ascii="宋体" w:hAnsi="宋体" w:cs="宋体"/>
      <w:kern w:val="0"/>
      <w:sz w:val="24"/>
    </w:rPr>
  </w:style>
  <w:style w:type="paragraph" w:styleId="5">
    <w:name w:val="Balloon Text"/>
    <w:basedOn w:val="1"/>
    <w:link w:val="13"/>
    <w:uiPriority w:val="0"/>
    <w:rPr>
      <w:sz w:val="18"/>
      <w:szCs w:val="18"/>
    </w:rPr>
  </w:style>
  <w:style w:type="paragraph" w:styleId="6">
    <w:name w:val="footer"/>
    <w:basedOn w:val="1"/>
    <w:link w:val="12"/>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annotation reference"/>
    <w:qFormat/>
    <w:uiPriority w:val="0"/>
    <w:rPr>
      <w:sz w:val="21"/>
      <w:szCs w:val="21"/>
    </w:rPr>
  </w:style>
  <w:style w:type="character" w:customStyle="1" w:styleId="11">
    <w:name w:val="页眉 Char"/>
    <w:link w:val="7"/>
    <w:uiPriority w:val="0"/>
    <w:rPr>
      <w:kern w:val="2"/>
      <w:sz w:val="18"/>
      <w:szCs w:val="18"/>
    </w:rPr>
  </w:style>
  <w:style w:type="character" w:customStyle="1" w:styleId="12">
    <w:name w:val="页脚 Char"/>
    <w:link w:val="6"/>
    <w:uiPriority w:val="0"/>
    <w:rPr>
      <w:kern w:val="2"/>
      <w:sz w:val="18"/>
      <w:szCs w:val="18"/>
    </w:rPr>
  </w:style>
  <w:style w:type="character" w:customStyle="1" w:styleId="13">
    <w:name w:val="批注框文本 Char"/>
    <w:link w:val="5"/>
    <w:uiPriority w:val="0"/>
    <w:rPr>
      <w:kern w:val="2"/>
      <w:sz w:val="18"/>
      <w:szCs w:val="18"/>
    </w:rPr>
  </w:style>
  <w:style w:type="character" w:customStyle="1" w:styleId="14">
    <w:name w:val="批注文字 Char"/>
    <w:link w:val="3"/>
    <w:uiPriority w:val="0"/>
    <w:rPr>
      <w:kern w:val="2"/>
      <w:sz w:val="21"/>
      <w:szCs w:val="24"/>
    </w:rPr>
  </w:style>
  <w:style w:type="character" w:customStyle="1" w:styleId="15">
    <w:name w:val="批注主题 Char"/>
    <w:link w:val="2"/>
    <w:uiPriority w:val="0"/>
    <w:rPr>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287</Words>
  <Characters>1637</Characters>
  <Lines>13</Lines>
  <Paragraphs>3</Paragraphs>
  <TotalTime>0</TotalTime>
  <ScaleCrop>false</ScaleCrop>
  <LinksUpToDate>false</LinksUpToDate>
  <CharactersWithSpaces>1921</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2016-10-08T06:34:00Z</dcterms:created>
  <dc:creator>lizhe</dc:creator>
  <cp:lastModifiedBy>gjy</cp:lastModifiedBy>
  <dcterms:modified xsi:type="dcterms:W3CDTF">2016-10-28T02:53:55Z</dcterms:modified>
  <dc:title>资产评估价值类型指导意见</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