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sz w:val="32"/>
          <w:szCs w:val="24"/>
          <w:lang w:val="en-US"/>
        </w:rPr>
      </w:pPr>
      <w:r>
        <w:rPr>
          <w:rFonts w:hint="eastAsia" w:ascii="宋体" w:hAnsi="宋体"/>
          <w:b/>
          <w:color w:val="000000"/>
          <w:sz w:val="44"/>
          <w:szCs w:val="44"/>
        </w:rPr>
        <w:t>《文化企业无形资产评估指导意见》（</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widowControl/>
        <w:shd w:val="clear" w:color="auto" w:fill="FFFFFF"/>
        <w:jc w:val="left"/>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       </w:t>
      </w: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三条“资产评估师执行文化企业无形资产评估业务，应当获取必要信息，并分析信息来源的可靠性，恰当利用信息。”修改为现第十三条“执行文化企业无形资产评估业务，应当获取必要信息，并恰当利用信息。对于评估中使用的有关文件、证明和资料，应当依法进行核查验证；可以按照核查验证资料的类别、来源、获取方式、对评估结果的影响程度等因素，选择适当的形式或实质核查验证方式。对于无法核查验证的事项，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应根据其对评估结果的影响程度，选择在评估报告中披露，直至拒绝出具评估报告等措施。”</w:t>
      </w:r>
      <w:r>
        <w:rPr>
          <w:rFonts w:ascii="仿宋" w:hAnsi="仿宋" w:eastAsia="仿宋" w:cs="仿宋"/>
          <w:sz w:val="32"/>
          <w:szCs w:val="32"/>
        </w:rPr>
        <w:t xml:space="preserve"> </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修改理由：与《资产评估准则-基本准则》修订稿相关内容保持一致。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val="en-US" w:eastAsia="zh-CN"/>
        </w:rPr>
        <w:t>原</w:t>
      </w:r>
      <w:r>
        <w:rPr>
          <w:rFonts w:hint="eastAsia" w:ascii="仿宋" w:hAnsi="仿宋" w:eastAsia="仿宋" w:cs="仿宋"/>
          <w:sz w:val="32"/>
          <w:szCs w:val="32"/>
        </w:rPr>
        <w:t>第三十一条“资产评估师执行文化企业无形资产评估业务，应当根据评估目的、评估对象、价值类型、资料收集情况等相关条件，分析收益法、市场法和成本法三种资产评估基本方法的适用性，恰当选择一种或者多种资产评估方法。”修改为现第三十一条“执行文化企业无形资产评估业务，应当根据评估目的、评估对象、价值类型、资料收集情况等相关条件，分析收益法、市场法和成本法三种资产评估基本方法的适用性，恰当选择资产评估方法。除因方法的适用性或操作限制导致只能选择一种评估方法的外，应当选择两种以上的评估方法。”</w:t>
      </w:r>
      <w:r>
        <w:rPr>
          <w:rFonts w:ascii="仿宋" w:hAnsi="仿宋" w:eastAsia="仿宋" w:cs="仿宋"/>
          <w:sz w:val="32"/>
          <w:szCs w:val="32"/>
        </w:rPr>
        <w:t xml:space="preserve"> </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修改理由：与《资产评估准则-基本准则》修订稿相关内容保持一致。</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w:t>
      </w:r>
      <w:r>
        <w:rPr>
          <w:rFonts w:hint="eastAsia" w:ascii="仿宋_GB2312" w:hAnsi="华文中宋" w:eastAsia="仿宋_GB2312" w:cs="华文仿宋"/>
          <w:color w:val="000000"/>
          <w:kern w:val="0"/>
          <w:sz w:val="32"/>
          <w:szCs w:val="32"/>
        </w:rPr>
        <w:t>原第四条“本指导意见所称文化企业无形资产评估，是指资产评估师</w:t>
      </w:r>
      <w:r>
        <w:rPr>
          <w:rFonts w:hint="eastAsia" w:ascii="仿宋_GB2312" w:hAnsi="华文中宋" w:eastAsia="仿宋_GB2312" w:cs="华文仿宋"/>
          <w:b/>
          <w:color w:val="000000"/>
          <w:kern w:val="0"/>
          <w:sz w:val="32"/>
          <w:szCs w:val="32"/>
        </w:rPr>
        <w:t>依据相关法律、法规和资产评估准则</w:t>
      </w:r>
      <w:r>
        <w:rPr>
          <w:rFonts w:hint="eastAsia" w:ascii="仿宋_GB2312" w:hAnsi="华文中宋" w:eastAsia="仿宋_GB2312" w:cs="华文仿宋"/>
          <w:color w:val="000000"/>
          <w:kern w:val="0"/>
          <w:sz w:val="32"/>
          <w:szCs w:val="32"/>
        </w:rPr>
        <w:t>，对文化企业无形资产的价值进行</w:t>
      </w:r>
      <w:r>
        <w:rPr>
          <w:rFonts w:hint="eastAsia" w:ascii="仿宋_GB2312" w:hAnsi="华文中宋" w:eastAsia="仿宋_GB2312" w:cs="华文仿宋"/>
          <w:b/>
          <w:color w:val="000000"/>
          <w:kern w:val="0"/>
          <w:sz w:val="32"/>
          <w:szCs w:val="32"/>
        </w:rPr>
        <w:t>分析</w:t>
      </w:r>
      <w:r>
        <w:rPr>
          <w:rFonts w:hint="eastAsia" w:ascii="仿宋_GB2312" w:hAnsi="华文中宋" w:eastAsia="仿宋_GB2312" w:cs="华文仿宋"/>
          <w:color w:val="000000"/>
          <w:kern w:val="0"/>
          <w:sz w:val="32"/>
          <w:szCs w:val="32"/>
        </w:rPr>
        <w:t>、估算并</w:t>
      </w:r>
      <w:r>
        <w:rPr>
          <w:rFonts w:hint="eastAsia" w:ascii="仿宋_GB2312" w:hAnsi="华文中宋" w:eastAsia="仿宋_GB2312" w:cs="华文仿宋"/>
          <w:b/>
          <w:color w:val="000000"/>
          <w:kern w:val="0"/>
          <w:sz w:val="32"/>
          <w:szCs w:val="32"/>
        </w:rPr>
        <w:t>发表专业意见</w:t>
      </w:r>
      <w:r>
        <w:rPr>
          <w:rFonts w:hint="eastAsia" w:ascii="仿宋_GB2312" w:hAnsi="华文中宋" w:eastAsia="仿宋_GB2312" w:cs="华文仿宋"/>
          <w:color w:val="000000"/>
          <w:kern w:val="0"/>
          <w:sz w:val="32"/>
          <w:szCs w:val="32"/>
        </w:rPr>
        <w:t>的行为</w:t>
      </w:r>
      <w:r>
        <w:rPr>
          <w:rFonts w:hint="eastAsia" w:ascii="仿宋_GB2312" w:hAnsi="华文中宋" w:eastAsia="仿宋_GB2312" w:cs="华文仿宋"/>
          <w:b/>
          <w:color w:val="000000"/>
          <w:kern w:val="0"/>
          <w:sz w:val="32"/>
          <w:szCs w:val="32"/>
        </w:rPr>
        <w:t>和过程。</w:t>
      </w:r>
      <w:r>
        <w:rPr>
          <w:rFonts w:hint="eastAsia" w:ascii="仿宋_GB2312" w:hAnsi="华文中宋" w:eastAsia="仿宋_GB2312" w:cs="华文仿宋"/>
          <w:color w:val="000000"/>
          <w:kern w:val="0"/>
          <w:sz w:val="32"/>
          <w:szCs w:val="32"/>
        </w:rPr>
        <w:t>”修改为现第四条“</w:t>
      </w:r>
      <w:r>
        <w:rPr>
          <w:rFonts w:hint="eastAsia" w:ascii="仿宋" w:hAnsi="仿宋" w:eastAsia="仿宋" w:cs="仿宋"/>
          <w:sz w:val="32"/>
          <w:szCs w:val="32"/>
        </w:rPr>
        <w:t>本指导意见所称文化企业无形资产评估，是指</w:t>
      </w:r>
      <w:r>
        <w:rPr>
          <w:rFonts w:hint="eastAsia" w:ascii="仿宋" w:hAnsi="仿宋" w:eastAsia="仿宋" w:cs="仿宋"/>
          <w:b/>
          <w:sz w:val="32"/>
          <w:szCs w:val="32"/>
        </w:rPr>
        <w:t>资产评估机构及资产评估专业人员</w:t>
      </w:r>
      <w:r>
        <w:rPr>
          <w:rFonts w:hint="eastAsia" w:ascii="仿宋" w:hAnsi="仿宋" w:eastAsia="仿宋" w:cs="仿宋"/>
          <w:sz w:val="32"/>
          <w:szCs w:val="32"/>
        </w:rPr>
        <w:t>根据</w:t>
      </w:r>
      <w:r>
        <w:rPr>
          <w:rFonts w:hint="eastAsia" w:ascii="仿宋" w:hAnsi="仿宋" w:eastAsia="仿宋" w:cs="仿宋"/>
          <w:b/>
          <w:sz w:val="32"/>
          <w:szCs w:val="32"/>
        </w:rPr>
        <w:t>委托</w:t>
      </w:r>
      <w:r>
        <w:rPr>
          <w:rFonts w:hint="eastAsia" w:ascii="仿宋" w:hAnsi="仿宋" w:eastAsia="仿宋" w:cs="仿宋"/>
          <w:sz w:val="32"/>
          <w:szCs w:val="32"/>
        </w:rPr>
        <w:t>对文化企业无形资产的价值进行</w:t>
      </w:r>
      <w:r>
        <w:rPr>
          <w:rFonts w:hint="eastAsia" w:ascii="仿宋" w:hAnsi="仿宋" w:eastAsia="仿宋" w:cs="仿宋"/>
          <w:b/>
          <w:sz w:val="32"/>
          <w:szCs w:val="32"/>
        </w:rPr>
        <w:t>评定</w:t>
      </w:r>
      <w:r>
        <w:rPr>
          <w:rFonts w:hint="eastAsia" w:ascii="仿宋" w:hAnsi="仿宋" w:eastAsia="仿宋" w:cs="仿宋"/>
          <w:sz w:val="32"/>
          <w:szCs w:val="32"/>
        </w:rPr>
        <w:t>、估算并</w:t>
      </w:r>
      <w:r>
        <w:rPr>
          <w:rFonts w:hint="eastAsia" w:ascii="仿宋" w:hAnsi="仿宋" w:eastAsia="仿宋" w:cs="仿宋"/>
          <w:b/>
          <w:sz w:val="32"/>
          <w:szCs w:val="32"/>
        </w:rPr>
        <w:t>出具资产评估报告</w:t>
      </w:r>
      <w:r>
        <w:rPr>
          <w:rFonts w:hint="eastAsia" w:ascii="仿宋" w:hAnsi="仿宋" w:eastAsia="仿宋" w:cs="仿宋"/>
          <w:sz w:val="32"/>
          <w:szCs w:val="32"/>
        </w:rPr>
        <w:t>的</w:t>
      </w:r>
      <w:r>
        <w:rPr>
          <w:rFonts w:hint="eastAsia" w:ascii="仿宋" w:hAnsi="仿宋" w:eastAsia="仿宋" w:cs="仿宋"/>
          <w:b/>
          <w:sz w:val="32"/>
          <w:szCs w:val="32"/>
        </w:rPr>
        <w:t>专业服务</w:t>
      </w:r>
      <w:r>
        <w:rPr>
          <w:rFonts w:hint="eastAsia" w:ascii="仿宋" w:hAnsi="仿宋" w:eastAsia="仿宋" w:cs="仿宋"/>
          <w:sz w:val="32"/>
          <w:szCs w:val="32"/>
        </w:rPr>
        <w:t>行为。</w:t>
      </w:r>
      <w:r>
        <w:rPr>
          <w:rFonts w:hint="eastAsia" w:ascii="仿宋_GB2312" w:hAnsi="华文中宋" w:eastAsia="仿宋_GB2312" w:cs="华文仿宋"/>
          <w:color w:val="000000"/>
          <w:kern w:val="0"/>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修改理由：根据《中华人民共和国资产评估法》对资产评估的定义修改。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（二）原第十一条 “资产评估师执行文化企业无形资产评估业务，应当在合理考虑评估目的、市场条件、评估对象自身条件等因素的基础上，恰当选择价值类型。以质押为目的可以根据实际情况选择市场价值或者根据担保法等相关法律、法规以及金融监管机构的规定选择评估结论的价值类型，以出资、转让、许可使用等交易为目的一般选择市场价值或者投资价值，以财务报告为目的一般根据企业会计准则相关要求选择相应的价值类型。”修改为现第十一条“执行文化企业无形资产评估业务，应当在合理考虑评估目的、市场条件、评估对象自身条件等因素的基础上，恰当选择价值类型。以质押为目的可以根据实际情况选择市场价值或者根据担保法等相关法律、法规以及金融监管机构的规定选择评估结果的价值类型。以出资、转让、许可使用等交易为目的一般选择市场价值或者投资价值。以财务报告为目的一般根据企业会计准则相关要求选择相应的价值类型，</w:t>
      </w:r>
      <w:r>
        <w:rPr>
          <w:rFonts w:hint="eastAsia" w:ascii="仿宋" w:hAnsi="仿宋" w:eastAsia="仿宋" w:cs="仿宋"/>
          <w:b/>
          <w:sz w:val="32"/>
          <w:szCs w:val="32"/>
        </w:rPr>
        <w:t>通常企业会计准则规定的计量属性可以理解为相对应的评估价值类型</w:t>
      </w:r>
      <w:r>
        <w:rPr>
          <w:rFonts w:hint="eastAsia" w:ascii="仿宋" w:hAnsi="仿宋" w:eastAsia="仿宋" w:cs="仿宋"/>
          <w:sz w:val="32"/>
          <w:szCs w:val="32"/>
        </w:rPr>
        <w:t>。”</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修改理由：与《以财务报告为目的的评估指南》修订稿相关内容保持一致。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（三）原第二十一条“销售网络是企业为了销售产品或者服务而</w:t>
      </w:r>
      <w:r>
        <w:rPr>
          <w:rFonts w:hint="eastAsia" w:ascii="仿宋" w:hAnsi="仿宋" w:eastAsia="仿宋" w:cs="仿宋"/>
          <w:b/>
          <w:sz w:val="32"/>
          <w:szCs w:val="32"/>
        </w:rPr>
        <w:t>与其他企业进行合作</w:t>
      </w:r>
      <w:r>
        <w:rPr>
          <w:rFonts w:hint="eastAsia" w:ascii="仿宋" w:hAnsi="仿宋" w:eastAsia="仿宋" w:cs="仿宋"/>
          <w:sz w:val="32"/>
          <w:szCs w:val="32"/>
        </w:rPr>
        <w:t>所建立的能够持续发挥作用并且带来经济利益的文化传播渠道。”修改为现第二十一条 “销售网络是企业为了销售产品或者服务所建立的能够持续发挥作用并且带来经济利益的文化传播渠道。”</w:t>
      </w:r>
      <w:r>
        <w:rPr>
          <w:rFonts w:ascii="仿宋" w:hAnsi="仿宋" w:eastAsia="仿宋" w:cs="仿宋"/>
          <w:sz w:val="32"/>
          <w:szCs w:val="32"/>
        </w:rPr>
        <w:t xml:space="preserve"> </w:t>
      </w:r>
      <w:r>
        <w:rPr>
          <w:rFonts w:hint="eastAsia" w:ascii="仿宋" w:hAnsi="仿宋" w:eastAsia="仿宋" w:cs="仿宋"/>
          <w:sz w:val="32"/>
          <w:szCs w:val="32"/>
          <w:lang w:eastAsia="zh-CN"/>
        </w:rPr>
        <w:t>。</w:t>
      </w:r>
    </w:p>
    <w:p>
      <w:pPr>
        <w:spacing w:line="480" w:lineRule="auto"/>
        <w:ind w:firstLine="640" w:firstLineChars="200"/>
        <w:rPr>
          <w:sz w:val="22"/>
        </w:rPr>
      </w:pPr>
      <w:r>
        <w:rPr>
          <w:rFonts w:hint="eastAsia" w:ascii="仿宋" w:hAnsi="仿宋" w:eastAsia="仿宋" w:cs="仿宋"/>
          <w:sz w:val="32"/>
          <w:szCs w:val="32"/>
        </w:rPr>
        <w:t>修改理由：考虑到文化企业的销售网络不仅包括外部的传播渠道，也包括企业内部的传播渠道，所</w:t>
      </w:r>
      <w:bookmarkStart w:id="0" w:name="_GoBack"/>
      <w:bookmarkEnd w:id="0"/>
      <w:r>
        <w:rPr>
          <w:rFonts w:hint="eastAsia" w:ascii="仿宋" w:hAnsi="仿宋" w:eastAsia="仿宋" w:cs="仿宋"/>
          <w:sz w:val="32"/>
          <w:szCs w:val="32"/>
        </w:rPr>
        <w:t>以删除“与其他企业进行合作”的相关限定。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A8D"/>
    <w:rsid w:val="00056225"/>
    <w:rsid w:val="0007223D"/>
    <w:rsid w:val="00075F7E"/>
    <w:rsid w:val="000A3CB2"/>
    <w:rsid w:val="000F6D6E"/>
    <w:rsid w:val="001461AC"/>
    <w:rsid w:val="002118C5"/>
    <w:rsid w:val="00211AF0"/>
    <w:rsid w:val="00226E3D"/>
    <w:rsid w:val="00266662"/>
    <w:rsid w:val="002A30C5"/>
    <w:rsid w:val="002E6826"/>
    <w:rsid w:val="002E6C8E"/>
    <w:rsid w:val="00333FF3"/>
    <w:rsid w:val="00345B63"/>
    <w:rsid w:val="003A0A47"/>
    <w:rsid w:val="003D0D1F"/>
    <w:rsid w:val="003E38F8"/>
    <w:rsid w:val="0044032C"/>
    <w:rsid w:val="004A013D"/>
    <w:rsid w:val="004F73DB"/>
    <w:rsid w:val="00514B84"/>
    <w:rsid w:val="0052171E"/>
    <w:rsid w:val="005332DA"/>
    <w:rsid w:val="0054127C"/>
    <w:rsid w:val="0057258D"/>
    <w:rsid w:val="005E1A6F"/>
    <w:rsid w:val="005E43EB"/>
    <w:rsid w:val="0060798D"/>
    <w:rsid w:val="00673C8A"/>
    <w:rsid w:val="00691A57"/>
    <w:rsid w:val="00695461"/>
    <w:rsid w:val="00787C20"/>
    <w:rsid w:val="007C4301"/>
    <w:rsid w:val="00880859"/>
    <w:rsid w:val="00881164"/>
    <w:rsid w:val="008F53CA"/>
    <w:rsid w:val="00900B2D"/>
    <w:rsid w:val="009359D1"/>
    <w:rsid w:val="009460B8"/>
    <w:rsid w:val="0097513A"/>
    <w:rsid w:val="00976A8D"/>
    <w:rsid w:val="009C72FF"/>
    <w:rsid w:val="00A72791"/>
    <w:rsid w:val="00B72839"/>
    <w:rsid w:val="00C46AFC"/>
    <w:rsid w:val="00C7462F"/>
    <w:rsid w:val="00CC4804"/>
    <w:rsid w:val="00D129A5"/>
    <w:rsid w:val="00D82B24"/>
    <w:rsid w:val="00D96E7D"/>
    <w:rsid w:val="00DA5527"/>
    <w:rsid w:val="00DE7BC5"/>
    <w:rsid w:val="00DF101C"/>
    <w:rsid w:val="00E23F66"/>
    <w:rsid w:val="00EC1FCA"/>
    <w:rsid w:val="00ED1CC0"/>
    <w:rsid w:val="00EE5AF6"/>
    <w:rsid w:val="00F142E5"/>
    <w:rsid w:val="00F16809"/>
    <w:rsid w:val="00F86E3D"/>
    <w:rsid w:val="00FA6B93"/>
    <w:rsid w:val="196655B3"/>
    <w:rsid w:val="20121678"/>
    <w:rsid w:val="566006D4"/>
    <w:rsid w:val="62595965"/>
    <w:rsid w:val="6D695A3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qFormat/>
    <w:uiPriority w:val="0"/>
    <w:rPr>
      <w:rFonts w:ascii="Calibri" w:hAnsi="Calibri" w:eastAsia="宋体" w:cs="Times New Roman"/>
      <w:sz w:val="18"/>
      <w:szCs w:val="18"/>
    </w:rPr>
  </w:style>
  <w:style w:type="character" w:customStyle="1" w:styleId="8">
    <w:name w:val="页脚 Char"/>
    <w:basedOn w:val="4"/>
    <w:link w:val="2"/>
    <w:qFormat/>
    <w:uiPriority w:val="99"/>
    <w:rPr>
      <w:rFonts w:ascii="Calibri" w:hAnsi="Calibri" w:eastAsia="宋体" w:cs="Times New Roman"/>
      <w:sz w:val="18"/>
      <w:szCs w:val="18"/>
    </w:rPr>
  </w:style>
  <w:style w:type="paragraph" w:customStyle="1" w:styleId="9">
    <w:name w:val="列出段落1"/>
    <w:basedOn w:val="1"/>
    <w:qFormat/>
    <w:uiPriority w:val="34"/>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226</Words>
  <Characters>1292</Characters>
  <Lines>10</Lines>
  <Paragraphs>3</Paragraphs>
  <ScaleCrop>false</ScaleCrop>
  <LinksUpToDate>false</LinksUpToDate>
  <CharactersWithSpaces>1515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2016-09-20T03:27:00Z</dcterms:created>
  <dc:creator>ryh</dc:creator>
  <cp:lastModifiedBy>gjy</cp:lastModifiedBy>
  <cp:lastPrinted>2016-10-25T03:17:00Z</cp:lastPrinted>
  <dcterms:modified xsi:type="dcterms:W3CDTF">2016-10-28T05:59:44Z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