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afterLines="100" w:line="360" w:lineRule="auto"/>
        <w:jc w:val="center"/>
        <w:rPr>
          <w:rFonts w:ascii="宋体" w:hAnsi="宋体" w:eastAsia="宋体" w:cs="Arial"/>
          <w:b/>
          <w:bCs/>
          <w:color w:val="464646"/>
          <w:kern w:val="0"/>
          <w:sz w:val="40"/>
          <w:szCs w:val="36"/>
        </w:rPr>
      </w:pPr>
      <w:r>
        <w:rPr>
          <w:rFonts w:hint="eastAsia" w:ascii="宋体" w:hAnsi="宋体" w:eastAsia="宋体" w:cs="Arial"/>
          <w:b/>
          <w:bCs/>
          <w:color w:val="464646"/>
          <w:kern w:val="0"/>
          <w:sz w:val="40"/>
          <w:szCs w:val="36"/>
        </w:rPr>
        <w:t>金融不良资产评估指导意见</w:t>
      </w:r>
    </w:p>
    <w:p>
      <w:pPr>
        <w:snapToGrid w:val="0"/>
        <w:spacing w:line="360" w:lineRule="auto"/>
        <w:jc w:val="center"/>
        <w:rPr>
          <w:rFonts w:ascii="宋体" w:hAnsi="宋体" w:eastAsia="宋体" w:cs="Times New Roman"/>
          <w:b/>
          <w:sz w:val="32"/>
          <w:szCs w:val="32"/>
        </w:rPr>
      </w:pPr>
      <w:r>
        <w:rPr>
          <w:rFonts w:hint="eastAsia" w:ascii="宋体" w:hAnsi="宋体" w:eastAsia="宋体" w:cs="Times New Roman"/>
          <w:b/>
          <w:sz w:val="32"/>
          <w:szCs w:val="32"/>
        </w:rPr>
        <w:t>（修订征求意见稿）</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第一章 总 则</w:t>
      </w:r>
      <w:bookmarkStart w:id="0" w:name="_GoBack"/>
      <w:bookmarkEnd w:id="0"/>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第一条 为规范执行金融不良资产评估业务，保护资产评估当事人的合法权益和公共利益，根据《资产评估准则──基本准则》，制定本指导意见。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第二条 本指导意见所称金融不良资产是指银行持有的次级、可疑及损失类贷款，金融资产管理公司收购或接管的金融不良债权，以及其他非银行金融机构持有的不良债权。</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本指导意见所称金融不良资产评估业务包括资产评估师和其他资产评估专业人员执行的以金融不良资产处置为目的的价值评估业务（以下简称“价值评估业务”）和以金融不良资产处置为目的的价值分析业务（以下简称“价值分析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价值评估业务是指资产评估机构及其资产评估专业人员遵守相关法律法规及资产评估准则的要求，根据委托对在评估基准日特定目的下的金融不良资产价值进行评定、估算，并出具评估报告的专业服务行为。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价值分析业务是指资产评估机构及其资产评估专业人员根据委托人的要求，对无法实施必要评估程序的金融不良资产在基准日特定目的下的价值或价值可实现程度进行分析、估算，并出具价值分析报告等咨询报告的专业服务行为。</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第三条 执行金融不良资产评估业务，应当遵守本指导意见。</w:t>
      </w:r>
    </w:p>
    <w:p>
      <w:pPr>
        <w:spacing w:line="500" w:lineRule="exact"/>
        <w:jc w:val="center"/>
        <w:rPr>
          <w:rFonts w:ascii="宋体" w:hAnsi="宋体" w:eastAsia="宋体" w:cs="Times New Roman"/>
          <w:b/>
          <w:sz w:val="28"/>
          <w:szCs w:val="28"/>
        </w:rPr>
      </w:pPr>
      <w:r>
        <w:rPr>
          <w:rFonts w:ascii="宋体" w:hAnsi="宋体" w:eastAsia="宋体" w:cs="Times New Roman"/>
          <w:b/>
          <w:sz w:val="28"/>
          <w:szCs w:val="28"/>
        </w:rPr>
        <w:t> </w:t>
      </w: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第二章 基本要求</w:t>
      </w:r>
    </w:p>
    <w:p>
      <w:pPr>
        <w:spacing w:line="500" w:lineRule="exact"/>
        <w:jc w:val="center"/>
        <w:rPr>
          <w:rFonts w:ascii="宋体" w:hAnsi="宋体" w:eastAsia="宋体" w:cs="Times New Roman"/>
          <w:b/>
          <w:sz w:val="28"/>
          <w:szCs w:val="28"/>
        </w:rPr>
      </w:pPr>
      <w:r>
        <w:rPr>
          <w:rFonts w:ascii="宋体" w:hAnsi="宋体" w:eastAsia="宋体" w:cs="Times New Roman"/>
          <w:b/>
          <w:sz w:val="28"/>
          <w:szCs w:val="28"/>
        </w:rPr>
        <w:t> </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第四条 执行金融不良资产评估业务，应当熟悉金融不良资产的相关知识，具备相应的专业知识和经验，能够胜任所执行的金融不良资产评估业务。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第五条 资产评估机构、资产评估师和其他资产评估专业人员应当遵守相关法律、法规和资产评估准则，独立开展评估业务，独立进行分析、估算并形成专业意见，拒绝委托人或者其他组织、个人对评估行为和评估结果的非法干预。</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资产评估机构、资产评估师和其他资产评估专业人员应当与委托人、被评估单位以及其他当事人无利害关系。</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第六条 资产评估师和其他资产评估专业人员应当根据评估业务具体情况合理使用评估假设，并在评估报告中予以披露。</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第七条 价值评估业务和价值分析业务是两种不同的专业服务。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执行金融不良资产评估业务，在未受到限制、能够履行必要评估程序的情况下，通常应当考虑执行价值评估业务。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执行金融不良资产评估业务，在受到限制、无法履行必要评估程序的情况下，可以与委托人协商执行价值分析业务。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价值评估业务出具资产评估报告，价值分析业务出具价值分析报告等咨询报告。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第八条 资产评估师和其他资产评估专业人员在承接金融不良资产评估业务时，应当在明确评估业务基本事项的基础上，根据评估对象的具体情况、评估目的、资产处置方式、评估资料可获得程度和评估程序受限制程度等因素，与委托人协商后明确执行价值评估业务或价值分析业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第九条 资产评估师和其他资产评估专业人员应当提醒委托人和其他报告使用人关注价值评估业务和价值分析业务的区别。</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资产评估师和其他资产评估专业人员应当对价值评估结果或价值分析结果进行明确说明，提醒委托人和其他报告使用人关注价值评估结果和价值分析结果的区别。</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价值分析结果是在受到一定限制条件下形成的专业意见，委托人和其他报告使用人应当知晓其作为参考依据的适用性不同于价值评估结果。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第十条 价值评估结果和价值分析结果反映评估对象在基准日的价值或价值可实现程度。</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资产评估师和其他资产评估专业人员应当提示报告使用人根据基准日后资产状况和市场状况的变化，合理确定价值评估结果和价值分析结果的有效使用期限。</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如果资产状况、市场状况与基准日相关状况相比发生重大变化，委托人应当委托评估机构执行评估更新业务或重新评估。</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第十一条 价值评估结果和价值分析结果反映资产评估师和其他资产评估专业人员按照相关法律、法规和资产评估准则，在实施必要程序后形成的建立在相关假设和限制条件基础上的专业意见。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价值评估结果或价值分析结果是资产处置的参考依据，不应当被认为是对金融不良资产处置时可实现价格的保证。</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委托人和其他报告使用人应当合理理解并恰当使用价值评估结果或价值分析结果。资产评估师和其他资产评估专业人员应当建议委托人在参考价值评估结果或价值分析结果的基础上，结合资产处置方案及资产处置时资产状况和市场状况等因素，进行合理决策。</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第十二条 遵守相关法律、法规和资产评估准则，对评估对象在基准日特定目的下的价值或价值可实现程度进行分析、估算并发表专业意见，是资产评估师和其他资产评估专业人员的责任。</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委托人和相关当事人应当提供必要的资料，并对资料的真实性、合法性和完整性负责。</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委托人应当对资产评估师和其他资产评估专业人员执行业务予以配合，不得干预资产评估师和其他资产评估专业人员正常执业。当债务人等被评估单位不予以必要配合时，委托人应当予以必要协调。</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第三章 评估对象</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第十三条 金融不良资产评估业务中，根据项目具体情况和委托人的要求，评估对象可能是债权资产，也可能是用以实现债权清偿权利的实物类资产、股权类资产和其他资产。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执行金融不良资产评估业务，应当与委托人进行充分协商，明确评估对象。</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第十四条 实物类资产主要包括收购的以物抵贷资产、资产处置中收回的以物抵债资产、受托管理的实物资产及其所产生的权益，以及其他能实现债权清偿权利的实物资产。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股权类资产主要包括商业性债转股、抵债股权、质押股权等。</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其他资产主要包括土地使用权、商标权等无形资产以及收益凭证等其他相关资产。</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债权资产主要包括本指导意见第二条第一款所指不良贷款和不良债权。</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第十五条 执行金融不良资产评估业务，应当关注评估对象的具体形态，充分考虑评估对象特点对评估业务的影响。</w:t>
      </w:r>
    </w:p>
    <w:p>
      <w:pPr>
        <w:spacing w:line="500" w:lineRule="exact"/>
        <w:jc w:val="center"/>
        <w:rPr>
          <w:rFonts w:ascii="宋体" w:hAnsi="宋体" w:eastAsia="宋体" w:cs="Times New Roman"/>
          <w:b/>
          <w:sz w:val="28"/>
          <w:szCs w:val="28"/>
        </w:rPr>
      </w:pP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第四章 操作要求</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第十六条 执行价值评估业务应当充分考虑金融不良资产处置的特点，遵守相关法律、法规和资产评估准则。</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第十七条 资产评估师和其他资产评估专业人员应当明确资产评估业务的基本情况，根据评估目的、评估对象、资产处置方式、可获得的评估资料等因素，恰当选择价值类型和评估方法。</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第十八条 执行金融不良资产评估业务，应当在履行必要的评估程序或分析程序后，编制并由所在资产评估机构出具的资产评估报告或咨询报告。</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第十九条 资产评估报告应当包含必要信息，使报告使用人能够合理理解价值评估结果。</w:t>
      </w: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第二十条 资产评估师和其他资产评估专业人员应当在遵守相关法律、法规和资产评估准则的基础上，根据委托人的要求，合理确定资产评估报告的繁简程度。</w:t>
      </w:r>
    </w:p>
    <w:p>
      <w:pPr>
        <w:spacing w:line="500" w:lineRule="exact"/>
        <w:jc w:val="center"/>
        <w:rPr>
          <w:rFonts w:ascii="宋体" w:hAnsi="宋体" w:eastAsia="宋体" w:cs="Times New Roman"/>
          <w:b/>
          <w:sz w:val="28"/>
          <w:szCs w:val="28"/>
        </w:rPr>
      </w:pPr>
      <w:r>
        <w:rPr>
          <w:rFonts w:ascii="宋体" w:hAnsi="宋体" w:eastAsia="宋体" w:cs="Times New Roman"/>
          <w:b/>
          <w:sz w:val="28"/>
          <w:szCs w:val="28"/>
        </w:rPr>
        <w:t> </w:t>
      </w:r>
    </w:p>
    <w:p>
      <w:pPr>
        <w:spacing w:line="500" w:lineRule="exact"/>
        <w:jc w:val="center"/>
        <w:rPr>
          <w:rFonts w:ascii="宋体" w:hAnsi="宋体" w:eastAsia="宋体" w:cs="Times New Roman"/>
          <w:sz w:val="30"/>
          <w:szCs w:val="30"/>
        </w:rPr>
      </w:pPr>
      <w:r>
        <w:rPr>
          <w:rFonts w:hint="eastAsia" w:ascii="宋体" w:hAnsi="宋体" w:eastAsia="宋体" w:cs="Times New Roman"/>
          <w:sz w:val="30"/>
          <w:szCs w:val="30"/>
        </w:rPr>
        <w:t>第五章 附 则</w:t>
      </w:r>
    </w:p>
    <w:p>
      <w:pPr>
        <w:spacing w:line="500" w:lineRule="exact"/>
        <w:jc w:val="center"/>
        <w:rPr>
          <w:rFonts w:ascii="宋体" w:hAnsi="宋体" w:eastAsia="宋体" w:cs="Times New Roman"/>
          <w:b/>
          <w:sz w:val="28"/>
          <w:szCs w:val="28"/>
        </w:rPr>
      </w:pPr>
    </w:p>
    <w:p>
      <w:pPr>
        <w:spacing w:line="480" w:lineRule="auto"/>
        <w:ind w:firstLine="600" w:firstLineChars="200"/>
        <w:rPr>
          <w:rFonts w:ascii="宋体" w:hAnsi="宋体" w:eastAsia="宋体" w:cs="Times New Roman"/>
          <w:sz w:val="30"/>
          <w:szCs w:val="30"/>
        </w:rPr>
      </w:pPr>
      <w:r>
        <w:rPr>
          <w:rFonts w:hint="eastAsia" w:ascii="宋体" w:hAnsi="宋体" w:eastAsia="宋体" w:cs="Times New Roman"/>
          <w:sz w:val="30"/>
          <w:szCs w:val="30"/>
        </w:rPr>
        <w:t>第二十一条 本指导意见自＿年＿月＿日起施行。</w:t>
      </w:r>
    </w:p>
    <w:p>
      <w:pPr>
        <w:spacing w:line="360" w:lineRule="auto"/>
        <w:rPr>
          <w:sz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Calibri Light">
    <w:panose1 w:val="020F03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64E17"/>
    <w:rsid w:val="000027F6"/>
    <w:rsid w:val="00003257"/>
    <w:rsid w:val="0000605A"/>
    <w:rsid w:val="00007547"/>
    <w:rsid w:val="00007F9F"/>
    <w:rsid w:val="00013C06"/>
    <w:rsid w:val="000228CA"/>
    <w:rsid w:val="00026C50"/>
    <w:rsid w:val="00031039"/>
    <w:rsid w:val="00031F41"/>
    <w:rsid w:val="00051C4C"/>
    <w:rsid w:val="00053F05"/>
    <w:rsid w:val="00055CAC"/>
    <w:rsid w:val="00060C78"/>
    <w:rsid w:val="000623AD"/>
    <w:rsid w:val="00062D96"/>
    <w:rsid w:val="00075A31"/>
    <w:rsid w:val="00081081"/>
    <w:rsid w:val="00083908"/>
    <w:rsid w:val="000967AF"/>
    <w:rsid w:val="0009743D"/>
    <w:rsid w:val="000A560F"/>
    <w:rsid w:val="000B073C"/>
    <w:rsid w:val="000B0E0F"/>
    <w:rsid w:val="000B323A"/>
    <w:rsid w:val="000B43BE"/>
    <w:rsid w:val="000C4052"/>
    <w:rsid w:val="000D0C2D"/>
    <w:rsid w:val="000E6721"/>
    <w:rsid w:val="000F663B"/>
    <w:rsid w:val="000F7E8A"/>
    <w:rsid w:val="0010133D"/>
    <w:rsid w:val="00104316"/>
    <w:rsid w:val="001059AA"/>
    <w:rsid w:val="00110495"/>
    <w:rsid w:val="00115BD7"/>
    <w:rsid w:val="00117873"/>
    <w:rsid w:val="001220BF"/>
    <w:rsid w:val="00130F67"/>
    <w:rsid w:val="00144B94"/>
    <w:rsid w:val="00152CA5"/>
    <w:rsid w:val="00164E9D"/>
    <w:rsid w:val="001726BA"/>
    <w:rsid w:val="00172EA1"/>
    <w:rsid w:val="00173245"/>
    <w:rsid w:val="00174D97"/>
    <w:rsid w:val="00180817"/>
    <w:rsid w:val="001912E0"/>
    <w:rsid w:val="001938C1"/>
    <w:rsid w:val="001952BA"/>
    <w:rsid w:val="001A7DFB"/>
    <w:rsid w:val="001B3F5B"/>
    <w:rsid w:val="001B7908"/>
    <w:rsid w:val="001C2EF6"/>
    <w:rsid w:val="001C6C70"/>
    <w:rsid w:val="001D1600"/>
    <w:rsid w:val="001E4E78"/>
    <w:rsid w:val="002010B8"/>
    <w:rsid w:val="0020397D"/>
    <w:rsid w:val="00211F45"/>
    <w:rsid w:val="002129E4"/>
    <w:rsid w:val="00215F38"/>
    <w:rsid w:val="00217AE6"/>
    <w:rsid w:val="00220568"/>
    <w:rsid w:val="00245D34"/>
    <w:rsid w:val="00250E6E"/>
    <w:rsid w:val="0025160F"/>
    <w:rsid w:val="002527D1"/>
    <w:rsid w:val="0025352F"/>
    <w:rsid w:val="00255CA7"/>
    <w:rsid w:val="00262A07"/>
    <w:rsid w:val="00266205"/>
    <w:rsid w:val="0026636A"/>
    <w:rsid w:val="00272428"/>
    <w:rsid w:val="00272A21"/>
    <w:rsid w:val="0027583E"/>
    <w:rsid w:val="00281EB9"/>
    <w:rsid w:val="00290BCE"/>
    <w:rsid w:val="002A7D3D"/>
    <w:rsid w:val="002C20FA"/>
    <w:rsid w:val="002D011C"/>
    <w:rsid w:val="002D37F7"/>
    <w:rsid w:val="002E0265"/>
    <w:rsid w:val="002F2369"/>
    <w:rsid w:val="002F243C"/>
    <w:rsid w:val="002F3C97"/>
    <w:rsid w:val="00311942"/>
    <w:rsid w:val="0031405F"/>
    <w:rsid w:val="00335156"/>
    <w:rsid w:val="0033551E"/>
    <w:rsid w:val="00342C69"/>
    <w:rsid w:val="00343C7B"/>
    <w:rsid w:val="00347588"/>
    <w:rsid w:val="00350C77"/>
    <w:rsid w:val="00352440"/>
    <w:rsid w:val="00354039"/>
    <w:rsid w:val="0035575B"/>
    <w:rsid w:val="00355936"/>
    <w:rsid w:val="00355AF1"/>
    <w:rsid w:val="00362249"/>
    <w:rsid w:val="003667D8"/>
    <w:rsid w:val="0037191A"/>
    <w:rsid w:val="0037402A"/>
    <w:rsid w:val="00374954"/>
    <w:rsid w:val="0037546C"/>
    <w:rsid w:val="003836FA"/>
    <w:rsid w:val="00383F51"/>
    <w:rsid w:val="003A1BBB"/>
    <w:rsid w:val="003B0569"/>
    <w:rsid w:val="003B2018"/>
    <w:rsid w:val="003B6B3A"/>
    <w:rsid w:val="003B7F66"/>
    <w:rsid w:val="003C7864"/>
    <w:rsid w:val="003D1AF7"/>
    <w:rsid w:val="003D6792"/>
    <w:rsid w:val="003E1285"/>
    <w:rsid w:val="003E283B"/>
    <w:rsid w:val="003E34B1"/>
    <w:rsid w:val="003E3FED"/>
    <w:rsid w:val="003F76CF"/>
    <w:rsid w:val="003F7B15"/>
    <w:rsid w:val="00403E7F"/>
    <w:rsid w:val="00406F05"/>
    <w:rsid w:val="00426583"/>
    <w:rsid w:val="004275FE"/>
    <w:rsid w:val="004444BD"/>
    <w:rsid w:val="004679C8"/>
    <w:rsid w:val="00470F34"/>
    <w:rsid w:val="004837CF"/>
    <w:rsid w:val="00486DEB"/>
    <w:rsid w:val="004900A8"/>
    <w:rsid w:val="00490A0A"/>
    <w:rsid w:val="00492009"/>
    <w:rsid w:val="00492BED"/>
    <w:rsid w:val="00492EE5"/>
    <w:rsid w:val="004940F8"/>
    <w:rsid w:val="004A4C98"/>
    <w:rsid w:val="004A6A20"/>
    <w:rsid w:val="004A7FC8"/>
    <w:rsid w:val="004B156F"/>
    <w:rsid w:val="004C05BF"/>
    <w:rsid w:val="004C3276"/>
    <w:rsid w:val="004C3F4F"/>
    <w:rsid w:val="004C6B65"/>
    <w:rsid w:val="004C6BD0"/>
    <w:rsid w:val="004D46F7"/>
    <w:rsid w:val="004D77C3"/>
    <w:rsid w:val="004E11ED"/>
    <w:rsid w:val="004E693C"/>
    <w:rsid w:val="004F518F"/>
    <w:rsid w:val="0050004C"/>
    <w:rsid w:val="00525FF6"/>
    <w:rsid w:val="0053105B"/>
    <w:rsid w:val="00534796"/>
    <w:rsid w:val="00534ED8"/>
    <w:rsid w:val="00537336"/>
    <w:rsid w:val="005378C0"/>
    <w:rsid w:val="00537D51"/>
    <w:rsid w:val="00540C23"/>
    <w:rsid w:val="005463BC"/>
    <w:rsid w:val="00550790"/>
    <w:rsid w:val="005527C6"/>
    <w:rsid w:val="00554AFA"/>
    <w:rsid w:val="00555084"/>
    <w:rsid w:val="00561EB7"/>
    <w:rsid w:val="00565B78"/>
    <w:rsid w:val="00580AD4"/>
    <w:rsid w:val="005834D0"/>
    <w:rsid w:val="005A30BD"/>
    <w:rsid w:val="005B700E"/>
    <w:rsid w:val="005B709A"/>
    <w:rsid w:val="005C290E"/>
    <w:rsid w:val="005C3F0F"/>
    <w:rsid w:val="005C49A9"/>
    <w:rsid w:val="005C4A4D"/>
    <w:rsid w:val="005C6602"/>
    <w:rsid w:val="005C7B7A"/>
    <w:rsid w:val="005D1421"/>
    <w:rsid w:val="005D22A5"/>
    <w:rsid w:val="005D5FF2"/>
    <w:rsid w:val="005F6699"/>
    <w:rsid w:val="00601BA1"/>
    <w:rsid w:val="0061297E"/>
    <w:rsid w:val="006146AB"/>
    <w:rsid w:val="00614F16"/>
    <w:rsid w:val="00615C6B"/>
    <w:rsid w:val="00617C27"/>
    <w:rsid w:val="0062466A"/>
    <w:rsid w:val="006278D5"/>
    <w:rsid w:val="00635015"/>
    <w:rsid w:val="0064326C"/>
    <w:rsid w:val="00644D9D"/>
    <w:rsid w:val="006508B4"/>
    <w:rsid w:val="00660C7D"/>
    <w:rsid w:val="00664115"/>
    <w:rsid w:val="006642CB"/>
    <w:rsid w:val="00664E17"/>
    <w:rsid w:val="00665C21"/>
    <w:rsid w:val="00667135"/>
    <w:rsid w:val="006800E8"/>
    <w:rsid w:val="006814DA"/>
    <w:rsid w:val="00683D16"/>
    <w:rsid w:val="0068402A"/>
    <w:rsid w:val="00685C9D"/>
    <w:rsid w:val="006920F1"/>
    <w:rsid w:val="0069522F"/>
    <w:rsid w:val="00697AA2"/>
    <w:rsid w:val="006A36DF"/>
    <w:rsid w:val="006A45AB"/>
    <w:rsid w:val="006C0228"/>
    <w:rsid w:val="006C41EB"/>
    <w:rsid w:val="006D3188"/>
    <w:rsid w:val="006F1B08"/>
    <w:rsid w:val="007007FA"/>
    <w:rsid w:val="00706D97"/>
    <w:rsid w:val="0070731C"/>
    <w:rsid w:val="0070763B"/>
    <w:rsid w:val="0072702A"/>
    <w:rsid w:val="007332F9"/>
    <w:rsid w:val="00737DE0"/>
    <w:rsid w:val="00742515"/>
    <w:rsid w:val="00751227"/>
    <w:rsid w:val="00753C6B"/>
    <w:rsid w:val="00754422"/>
    <w:rsid w:val="00757A3E"/>
    <w:rsid w:val="00763405"/>
    <w:rsid w:val="007641DD"/>
    <w:rsid w:val="007652A6"/>
    <w:rsid w:val="007673B7"/>
    <w:rsid w:val="007746B0"/>
    <w:rsid w:val="00787ED1"/>
    <w:rsid w:val="00797C2A"/>
    <w:rsid w:val="007A1943"/>
    <w:rsid w:val="007B42FC"/>
    <w:rsid w:val="007B5A72"/>
    <w:rsid w:val="007C66C7"/>
    <w:rsid w:val="007D2F5F"/>
    <w:rsid w:val="007D48E6"/>
    <w:rsid w:val="007D6FB3"/>
    <w:rsid w:val="007E0010"/>
    <w:rsid w:val="007E00F4"/>
    <w:rsid w:val="007E6FFF"/>
    <w:rsid w:val="007E73E9"/>
    <w:rsid w:val="0080622D"/>
    <w:rsid w:val="008152C6"/>
    <w:rsid w:val="00825E77"/>
    <w:rsid w:val="00831DE1"/>
    <w:rsid w:val="0083222F"/>
    <w:rsid w:val="00834202"/>
    <w:rsid w:val="008352F2"/>
    <w:rsid w:val="008357B2"/>
    <w:rsid w:val="008370C4"/>
    <w:rsid w:val="008417CD"/>
    <w:rsid w:val="008459AC"/>
    <w:rsid w:val="00845A9C"/>
    <w:rsid w:val="00855EE9"/>
    <w:rsid w:val="00856124"/>
    <w:rsid w:val="0085663F"/>
    <w:rsid w:val="008579F3"/>
    <w:rsid w:val="00862674"/>
    <w:rsid w:val="008655EF"/>
    <w:rsid w:val="00871729"/>
    <w:rsid w:val="00873881"/>
    <w:rsid w:val="008750E2"/>
    <w:rsid w:val="00881C57"/>
    <w:rsid w:val="00882200"/>
    <w:rsid w:val="00891D27"/>
    <w:rsid w:val="00891DA9"/>
    <w:rsid w:val="008963B8"/>
    <w:rsid w:val="008A599E"/>
    <w:rsid w:val="008A5D89"/>
    <w:rsid w:val="008B4380"/>
    <w:rsid w:val="008D7F54"/>
    <w:rsid w:val="008E169B"/>
    <w:rsid w:val="009345F2"/>
    <w:rsid w:val="00941378"/>
    <w:rsid w:val="0094286D"/>
    <w:rsid w:val="00942A20"/>
    <w:rsid w:val="00946435"/>
    <w:rsid w:val="00954641"/>
    <w:rsid w:val="009565ED"/>
    <w:rsid w:val="00967506"/>
    <w:rsid w:val="00967A12"/>
    <w:rsid w:val="00982F6D"/>
    <w:rsid w:val="009853DF"/>
    <w:rsid w:val="009B207B"/>
    <w:rsid w:val="009B26DD"/>
    <w:rsid w:val="009B3498"/>
    <w:rsid w:val="009B4BAF"/>
    <w:rsid w:val="009B5FD3"/>
    <w:rsid w:val="009D37E9"/>
    <w:rsid w:val="009D6733"/>
    <w:rsid w:val="009E0F4B"/>
    <w:rsid w:val="009E1E60"/>
    <w:rsid w:val="009E2A1E"/>
    <w:rsid w:val="009E39E7"/>
    <w:rsid w:val="009F6694"/>
    <w:rsid w:val="00A05BE6"/>
    <w:rsid w:val="00A073C9"/>
    <w:rsid w:val="00A07D9C"/>
    <w:rsid w:val="00A17A72"/>
    <w:rsid w:val="00A34F42"/>
    <w:rsid w:val="00A40723"/>
    <w:rsid w:val="00A42091"/>
    <w:rsid w:val="00A421C1"/>
    <w:rsid w:val="00A4682C"/>
    <w:rsid w:val="00A46A9F"/>
    <w:rsid w:val="00A60333"/>
    <w:rsid w:val="00A67F61"/>
    <w:rsid w:val="00A75CBF"/>
    <w:rsid w:val="00A765A5"/>
    <w:rsid w:val="00A772C6"/>
    <w:rsid w:val="00A90A03"/>
    <w:rsid w:val="00AB3E01"/>
    <w:rsid w:val="00AB6359"/>
    <w:rsid w:val="00AC0C98"/>
    <w:rsid w:val="00AC3CFE"/>
    <w:rsid w:val="00AD04E0"/>
    <w:rsid w:val="00AD2420"/>
    <w:rsid w:val="00AD25AA"/>
    <w:rsid w:val="00AD4576"/>
    <w:rsid w:val="00AD459E"/>
    <w:rsid w:val="00AD7C22"/>
    <w:rsid w:val="00AE0F23"/>
    <w:rsid w:val="00AE54A5"/>
    <w:rsid w:val="00AF2E13"/>
    <w:rsid w:val="00AF4196"/>
    <w:rsid w:val="00B0263A"/>
    <w:rsid w:val="00B04D36"/>
    <w:rsid w:val="00B128D0"/>
    <w:rsid w:val="00B15365"/>
    <w:rsid w:val="00B22898"/>
    <w:rsid w:val="00B33354"/>
    <w:rsid w:val="00B43B56"/>
    <w:rsid w:val="00B537E6"/>
    <w:rsid w:val="00B64849"/>
    <w:rsid w:val="00B711D2"/>
    <w:rsid w:val="00B71443"/>
    <w:rsid w:val="00B7589C"/>
    <w:rsid w:val="00B80773"/>
    <w:rsid w:val="00B904BB"/>
    <w:rsid w:val="00B97180"/>
    <w:rsid w:val="00BA42AC"/>
    <w:rsid w:val="00BA4EEB"/>
    <w:rsid w:val="00BA54D5"/>
    <w:rsid w:val="00BA610B"/>
    <w:rsid w:val="00BA691A"/>
    <w:rsid w:val="00BB74D1"/>
    <w:rsid w:val="00BC634F"/>
    <w:rsid w:val="00BD04B5"/>
    <w:rsid w:val="00BD0674"/>
    <w:rsid w:val="00BD1802"/>
    <w:rsid w:val="00BD43A9"/>
    <w:rsid w:val="00BD65B2"/>
    <w:rsid w:val="00BE1928"/>
    <w:rsid w:val="00BE6D5B"/>
    <w:rsid w:val="00C03A24"/>
    <w:rsid w:val="00C0504C"/>
    <w:rsid w:val="00C05468"/>
    <w:rsid w:val="00C100ED"/>
    <w:rsid w:val="00C1186D"/>
    <w:rsid w:val="00C126C8"/>
    <w:rsid w:val="00C14BD6"/>
    <w:rsid w:val="00C304A6"/>
    <w:rsid w:val="00C46F5B"/>
    <w:rsid w:val="00C62FA8"/>
    <w:rsid w:val="00C63611"/>
    <w:rsid w:val="00C6421A"/>
    <w:rsid w:val="00C6633F"/>
    <w:rsid w:val="00C6638D"/>
    <w:rsid w:val="00C74E38"/>
    <w:rsid w:val="00C85884"/>
    <w:rsid w:val="00C90CB8"/>
    <w:rsid w:val="00C91C13"/>
    <w:rsid w:val="00C97BCD"/>
    <w:rsid w:val="00CA271D"/>
    <w:rsid w:val="00CB0132"/>
    <w:rsid w:val="00CB0D0E"/>
    <w:rsid w:val="00CB28A9"/>
    <w:rsid w:val="00CB66AF"/>
    <w:rsid w:val="00CC224A"/>
    <w:rsid w:val="00CC290B"/>
    <w:rsid w:val="00CC3E71"/>
    <w:rsid w:val="00CC465E"/>
    <w:rsid w:val="00CD0F9A"/>
    <w:rsid w:val="00CE13A5"/>
    <w:rsid w:val="00CE29D6"/>
    <w:rsid w:val="00CE555E"/>
    <w:rsid w:val="00CE5772"/>
    <w:rsid w:val="00D00EF4"/>
    <w:rsid w:val="00D03124"/>
    <w:rsid w:val="00D07851"/>
    <w:rsid w:val="00D07F5E"/>
    <w:rsid w:val="00D11347"/>
    <w:rsid w:val="00D24202"/>
    <w:rsid w:val="00D330C4"/>
    <w:rsid w:val="00D439B7"/>
    <w:rsid w:val="00D45E07"/>
    <w:rsid w:val="00D50335"/>
    <w:rsid w:val="00D50E80"/>
    <w:rsid w:val="00D514ED"/>
    <w:rsid w:val="00D63351"/>
    <w:rsid w:val="00D63D6A"/>
    <w:rsid w:val="00D64B65"/>
    <w:rsid w:val="00D67464"/>
    <w:rsid w:val="00D721B3"/>
    <w:rsid w:val="00D85E8E"/>
    <w:rsid w:val="00D87265"/>
    <w:rsid w:val="00D93868"/>
    <w:rsid w:val="00DA0CDC"/>
    <w:rsid w:val="00DA37E1"/>
    <w:rsid w:val="00DA49D1"/>
    <w:rsid w:val="00DA7C10"/>
    <w:rsid w:val="00DB7B6D"/>
    <w:rsid w:val="00DB7B82"/>
    <w:rsid w:val="00DC3202"/>
    <w:rsid w:val="00DC39B7"/>
    <w:rsid w:val="00DC4D03"/>
    <w:rsid w:val="00DC7D09"/>
    <w:rsid w:val="00DD77AD"/>
    <w:rsid w:val="00DE1E70"/>
    <w:rsid w:val="00DE3E34"/>
    <w:rsid w:val="00DF1B5E"/>
    <w:rsid w:val="00DF3BF0"/>
    <w:rsid w:val="00E0196B"/>
    <w:rsid w:val="00E120C3"/>
    <w:rsid w:val="00E16191"/>
    <w:rsid w:val="00E22440"/>
    <w:rsid w:val="00E2556E"/>
    <w:rsid w:val="00E27007"/>
    <w:rsid w:val="00E30576"/>
    <w:rsid w:val="00E33F0E"/>
    <w:rsid w:val="00E34A94"/>
    <w:rsid w:val="00E3757D"/>
    <w:rsid w:val="00E41B56"/>
    <w:rsid w:val="00E4713F"/>
    <w:rsid w:val="00E55C2F"/>
    <w:rsid w:val="00E55FAD"/>
    <w:rsid w:val="00E63B27"/>
    <w:rsid w:val="00E72B64"/>
    <w:rsid w:val="00E75AEE"/>
    <w:rsid w:val="00E77BDF"/>
    <w:rsid w:val="00E84CE5"/>
    <w:rsid w:val="00E86E0C"/>
    <w:rsid w:val="00E92483"/>
    <w:rsid w:val="00E958A7"/>
    <w:rsid w:val="00E95F8F"/>
    <w:rsid w:val="00EA459A"/>
    <w:rsid w:val="00EA6D1E"/>
    <w:rsid w:val="00EA7F31"/>
    <w:rsid w:val="00EB1EF3"/>
    <w:rsid w:val="00EB474C"/>
    <w:rsid w:val="00EB549C"/>
    <w:rsid w:val="00EB757B"/>
    <w:rsid w:val="00EC1A87"/>
    <w:rsid w:val="00ED23DA"/>
    <w:rsid w:val="00EE3DC3"/>
    <w:rsid w:val="00EE7666"/>
    <w:rsid w:val="00EE7BB3"/>
    <w:rsid w:val="00EF4D4C"/>
    <w:rsid w:val="00F01FBB"/>
    <w:rsid w:val="00F12C29"/>
    <w:rsid w:val="00F13EAA"/>
    <w:rsid w:val="00F225C0"/>
    <w:rsid w:val="00F25A0E"/>
    <w:rsid w:val="00F300E7"/>
    <w:rsid w:val="00F3575E"/>
    <w:rsid w:val="00F37107"/>
    <w:rsid w:val="00F4034A"/>
    <w:rsid w:val="00F42C80"/>
    <w:rsid w:val="00F44B18"/>
    <w:rsid w:val="00F4780A"/>
    <w:rsid w:val="00F53F11"/>
    <w:rsid w:val="00F57811"/>
    <w:rsid w:val="00F57A27"/>
    <w:rsid w:val="00F63D70"/>
    <w:rsid w:val="00F720B5"/>
    <w:rsid w:val="00F760D3"/>
    <w:rsid w:val="00F864CF"/>
    <w:rsid w:val="00F86C21"/>
    <w:rsid w:val="00F901FE"/>
    <w:rsid w:val="00F90601"/>
    <w:rsid w:val="00F95852"/>
    <w:rsid w:val="00F96DA1"/>
    <w:rsid w:val="00FB2782"/>
    <w:rsid w:val="00FB6C2B"/>
    <w:rsid w:val="00FC4A8E"/>
    <w:rsid w:val="00FC788C"/>
    <w:rsid w:val="00FD0A56"/>
    <w:rsid w:val="00FD0A79"/>
    <w:rsid w:val="00FD1F10"/>
    <w:rsid w:val="00FE1E56"/>
    <w:rsid w:val="00FF44E1"/>
    <w:rsid w:val="78FB61B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1"/>
    <w:unhideWhenUsed/>
    <w:uiPriority w:val="99"/>
    <w:rPr>
      <w:b/>
      <w:bCs/>
    </w:rPr>
  </w:style>
  <w:style w:type="paragraph" w:styleId="3">
    <w:name w:val="annotation text"/>
    <w:basedOn w:val="1"/>
    <w:link w:val="10"/>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批注文字 Char"/>
    <w:basedOn w:val="7"/>
    <w:link w:val="3"/>
    <w:semiHidden/>
    <w:uiPriority w:val="99"/>
  </w:style>
  <w:style w:type="character" w:customStyle="1" w:styleId="11">
    <w:name w:val="批注主题 Char"/>
    <w:basedOn w:val="10"/>
    <w:link w:val="2"/>
    <w:semiHidden/>
    <w:uiPriority w:val="99"/>
    <w:rPr>
      <w:b/>
      <w:bCs/>
    </w:rPr>
  </w:style>
  <w:style w:type="character" w:customStyle="1" w:styleId="12">
    <w:name w:val="批注框文本 Char"/>
    <w:basedOn w:val="7"/>
    <w:link w:val="4"/>
    <w:semiHidden/>
    <w:uiPriority w:val="99"/>
    <w:rPr>
      <w:sz w:val="18"/>
      <w:szCs w:val="18"/>
    </w:rPr>
  </w:style>
  <w:style w:type="character" w:customStyle="1" w:styleId="13">
    <w:name w:val="页眉 Char"/>
    <w:basedOn w:val="7"/>
    <w:link w:val="6"/>
    <w:uiPriority w:val="99"/>
    <w:rPr>
      <w:sz w:val="18"/>
      <w:szCs w:val="18"/>
    </w:rPr>
  </w:style>
  <w:style w:type="character" w:customStyle="1" w:styleId="14">
    <w:name w:val="页脚 Char"/>
    <w:basedOn w:val="7"/>
    <w:link w:val="5"/>
    <w:qFormat/>
    <w:uiPriority w:val="99"/>
    <w:rPr>
      <w:sz w:val="18"/>
      <w:szCs w:val="18"/>
    </w:rPr>
  </w:style>
  <w:style w:type="paragraph" w:customStyle="1"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390</Words>
  <Characters>2224</Characters>
  <Lines>18</Lines>
  <Paragraphs>5</Paragraphs>
  <TotalTime>0</TotalTime>
  <ScaleCrop>false</ScaleCrop>
  <LinksUpToDate>false</LinksUpToDate>
  <CharactersWithSpaces>2609</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2016-10-10T07:10:00Z</dcterms:created>
  <dc:creator>Think</dc:creator>
  <cp:lastModifiedBy>gjy</cp:lastModifiedBy>
  <cp:lastPrinted>2016-09-30T07:51:00Z</cp:lastPrinted>
  <dcterms:modified xsi:type="dcterms:W3CDTF">2016-10-28T02:52:20Z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