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60" w:lineRule="exact"/>
        <w:jc w:val="center"/>
        <w:rPr>
          <w:rFonts w:ascii="宋体" w:hAnsi="宋体"/>
          <w:b/>
          <w:color w:val="000000"/>
          <w:sz w:val="44"/>
          <w:szCs w:val="44"/>
          <w:lang w:val="en-US"/>
        </w:rPr>
      </w:pPr>
      <w:r>
        <w:rPr>
          <w:rFonts w:hint="eastAsia" w:ascii="宋体" w:hAnsi="宋体"/>
          <w:b/>
          <w:color w:val="000000"/>
          <w:sz w:val="44"/>
          <w:szCs w:val="44"/>
        </w:rPr>
        <w:t>《专利资产评估指导意见》（</w:t>
      </w:r>
      <w:r>
        <w:rPr>
          <w:rFonts w:hint="eastAsia" w:ascii="华文中宋" w:hAnsi="华文中宋" w:eastAsia="华文中宋"/>
          <w:b/>
          <w:color w:val="000000"/>
          <w:sz w:val="44"/>
          <w:szCs w:val="44"/>
        </w:rPr>
        <w:t>修订征求意见稿</w:t>
      </w:r>
      <w:r>
        <w:rPr>
          <w:rFonts w:hint="eastAsia" w:ascii="宋体" w:hAnsi="宋体"/>
          <w:b/>
          <w:color w:val="000000"/>
          <w:sz w:val="44"/>
          <w:szCs w:val="44"/>
        </w:rPr>
        <w:t>）</w:t>
      </w:r>
      <w:r>
        <w:rPr>
          <w:rFonts w:hint="eastAsia" w:ascii="宋体" w:hAnsi="宋体"/>
          <w:b/>
          <w:color w:val="000000"/>
          <w:sz w:val="44"/>
          <w:szCs w:val="44"/>
          <w:lang w:val="en-US" w:eastAsia="zh-CN"/>
        </w:rPr>
        <w:t>主要修订内容介绍</w:t>
      </w:r>
    </w:p>
    <w:p>
      <w:pPr>
        <w:spacing w:line="480" w:lineRule="auto"/>
        <w:rPr>
          <w:rFonts w:ascii="仿宋" w:hAnsi="仿宋" w:eastAsia="仿宋" w:cs="仿宋"/>
          <w:sz w:val="32"/>
          <w:szCs w:val="32"/>
        </w:rPr>
      </w:pPr>
    </w:p>
    <w:p>
      <w:pPr>
        <w:spacing w:line="480" w:lineRule="auto"/>
        <w:ind w:firstLine="643" w:firstLineChars="200"/>
        <w:rPr>
          <w:rFonts w:ascii="仿宋" w:hAnsi="仿宋" w:eastAsia="仿宋" w:cs="仿宋"/>
          <w:b/>
          <w:sz w:val="32"/>
          <w:szCs w:val="32"/>
        </w:rPr>
      </w:pPr>
      <w:r>
        <w:rPr>
          <w:rFonts w:hint="eastAsia" w:ascii="仿宋" w:hAnsi="仿宋" w:eastAsia="仿宋" w:cs="仿宋"/>
          <w:b/>
          <w:sz w:val="32"/>
          <w:szCs w:val="32"/>
        </w:rPr>
        <w:t>一、整体修改的主要条款</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一）原第八条“注册资产评估师执行专利资产评估业务，应当经过专门教育或者培训，具有相应的专业知识和专利资产评估经验，能够胜任专利资产评估业务。当注册资产评估师缺乏执行某项特定业务所需的相关专业知识和经验时，应当采取恰当的弥补措施，必要时可以聘请专家协助工作，但应当采取必要措施确信专家工作的合理性。”修改为现第五条“执行专利资产评估业务，应当具备专利资产评估的相关专业知识及评估经验，具有从事专利资产评估的专业胜任能力。执行某项特定业务缺乏特定的专业知识和经验时，应当采取恰当的弥补措施，包括聘请专家协助工作。聘请相关专家协助工作以及引用专业报告，应当遵守《资产评估准则-利用专家工作》的相关规定。”</w:t>
      </w:r>
      <w:r>
        <w:rPr>
          <w:rFonts w:hint="eastAsia" w:ascii="仿宋" w:hAnsi="仿宋" w:eastAsia="仿宋" w:cs="仿宋"/>
          <w:sz w:val="32"/>
          <w:szCs w:val="32"/>
          <w:lang w:eastAsia="zh-CN"/>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修改理由：根据《资产评估准则-利用专家工作》相应修改。</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 xml:space="preserve"> （二）新增现第六条“执行企业价值评估中的专利资产评估业务，应当了解在对持续经营前提下的企业价值进行评估时，专利资产作为企业资产的一个组成部分时的价值有别于作为单项资产的价值，其价值取决于它对企业价值的贡献程度。”</w:t>
      </w:r>
      <w:r>
        <w:rPr>
          <w:rFonts w:hint="eastAsia" w:ascii="仿宋" w:hAnsi="仿宋" w:eastAsia="仿宋" w:cs="仿宋"/>
          <w:sz w:val="32"/>
          <w:szCs w:val="32"/>
          <w:lang w:eastAsia="zh-CN"/>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修改理由：根据资产评估法和其他准则相应修改。</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三）原第九条“注册资产评估师执行专利资产评估业务，应当在合理考虑评估目的、市场条件、评估对象自身条件等因素的基础上，恰当选择价值类型。”修改为现第七条“执行专利资产评估业务，应当在合理考虑评估目的、市场条件、评估对象自身条件等因素的基础上，恰当选择价值类型。以质押为目的可以选择市场价值或者市场价值以外的价值类型，以交易为目的一般选择市场价值或投资价值，以财务报告为目的一般根据会计准则相关要求选择相应的价值类型。”</w:t>
      </w:r>
      <w:r>
        <w:rPr>
          <w:rFonts w:hint="eastAsia" w:ascii="仿宋" w:hAnsi="仿宋" w:eastAsia="仿宋" w:cs="仿宋"/>
          <w:sz w:val="32"/>
          <w:szCs w:val="32"/>
          <w:lang w:eastAsia="zh-CN"/>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修改理由：增加价值类型的选择内容</w:t>
      </w:r>
      <w:r>
        <w:rPr>
          <w:rFonts w:hint="eastAsia" w:ascii="仿宋" w:hAnsi="仿宋" w:eastAsia="仿宋" w:cs="仿宋"/>
          <w:sz w:val="32"/>
          <w:szCs w:val="32"/>
          <w:lang w:eastAsia="zh-CN"/>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四）原第十七条“注册资产评估师执行出资、质押、诉讼目的的专利资产评估业务，应当要求委托方提交由国家知识产权局出具的专利登记簿副本。评估对象为实用新型专利的，注册资产评估师应当要求委托方提供实用新型专利检索报告。”修改为现第十五条“执行质押、诉讼目的的专利资产评估业务，应当要求委托人提交由国家知识产权局出具的专利登记簿副本。评估对象为实用新型专利的，应当要求委托人提供实用新型专利检索报告，当实用新型专利数量较多时，应当恰当选取部分实用新型专利由委托人提供检索报告。”</w:t>
      </w:r>
      <w:r>
        <w:rPr>
          <w:rFonts w:hint="eastAsia" w:ascii="仿宋" w:hAnsi="仿宋" w:eastAsia="仿宋" w:cs="仿宋"/>
          <w:sz w:val="32"/>
          <w:szCs w:val="32"/>
          <w:lang w:eastAsia="zh-CN"/>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修改理由：规范实用新型专利较多时查新检索的要求，尽量减少委托人的负担。</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（五）新增第二十四条“执行专利资产法律诉讼评估业务，应当关注相关案情基本情况、经过质证的资料以及专利权的历史诉讼情况。”</w:t>
      </w:r>
      <w:r>
        <w:rPr>
          <w:rFonts w:hint="eastAsia" w:ascii="仿宋" w:hAnsi="仿宋" w:eastAsia="仿宋" w:cs="仿宋"/>
          <w:sz w:val="32"/>
          <w:szCs w:val="32"/>
          <w:lang w:eastAsia="zh-CN"/>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修改理由：增加对专利诉讼业务的特殊要求</w:t>
      </w:r>
      <w:r>
        <w:rPr>
          <w:rFonts w:hint="eastAsia" w:ascii="仿宋" w:hAnsi="仿宋" w:eastAsia="仿宋" w:cs="仿宋"/>
          <w:sz w:val="32"/>
          <w:szCs w:val="32"/>
          <w:lang w:eastAsia="zh-CN"/>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六）原第二十六条“注册资产评估师执行专利资产评估业务，应当根据评估对象、价值类型、资料收集情况等相关条件，分析收益法、市场法和成本法三种资产评估基本方法的适用性，恰当选择一种或者多种资产评估方法。”修改为现第二十五条“执行专利资产评估业务，应当根据评估目的、评估对象、价值类型、资料收集情况等相关条件，分析三种资产评估基本方法的适用性，恰当选择评估方法，合理形成评估结果。因方法的适用性或操作限制导致无法采用两种以上评估方法进行评估的，可以采用一种方法进行评估。因适用性受限的应在报告中披露其他基本评估方法不适用的原因；因操作受限的应对所受的操作限制进行分析、说明，该限制应当是资产评估行业通常的执业方式普遍无法排除的，而不应以个别资产评估机构或个别资产评估师和其他资产评估专业人员的操作能力及条件作为判断标准。”</w:t>
      </w:r>
      <w:r>
        <w:rPr>
          <w:rFonts w:hint="eastAsia" w:ascii="仿宋" w:hAnsi="仿宋" w:eastAsia="仿宋" w:cs="仿宋"/>
          <w:sz w:val="32"/>
          <w:szCs w:val="32"/>
          <w:lang w:eastAsia="zh-CN"/>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修改理由：根据资产评估基本准则作相应修改</w:t>
      </w:r>
      <w:r>
        <w:rPr>
          <w:rFonts w:hint="eastAsia" w:ascii="仿宋" w:hAnsi="仿宋" w:eastAsia="仿宋" w:cs="仿宋"/>
          <w:sz w:val="32"/>
          <w:szCs w:val="32"/>
          <w:lang w:eastAsia="zh-CN"/>
        </w:rPr>
        <w:t>。</w:t>
      </w:r>
    </w:p>
    <w:p>
      <w:pPr>
        <w:spacing w:line="48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（七）新增第二十七条“运用收益法进行专利资产评估时，应合理确定预期收益。</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专利资产的预期收益应当是专利的使用而额外带来的收益，可以通过增量收益、节省许可费、收益分成或者超额收益等方式估算。确定预期收益时，应当区分并剔除与委托评估的专利资产无关的业务产生的收益，并关注以下因素……”</w:t>
      </w:r>
      <w:r>
        <w:rPr>
          <w:rFonts w:hint="eastAsia" w:ascii="仿宋" w:hAnsi="仿宋" w:eastAsia="仿宋" w:cs="仿宋"/>
          <w:sz w:val="32"/>
          <w:szCs w:val="32"/>
          <w:lang w:eastAsia="zh-CN"/>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修改理由：增加确定预期收益方法的描述</w:t>
      </w:r>
      <w:r>
        <w:rPr>
          <w:rFonts w:hint="eastAsia" w:ascii="仿宋" w:hAnsi="仿宋" w:eastAsia="仿宋" w:cs="仿宋"/>
          <w:sz w:val="32"/>
          <w:szCs w:val="32"/>
          <w:lang w:eastAsia="zh-CN"/>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（八）原第三十条修改为现第三十条“运用市场法进行专利资产评估时，应当收集足够的可比交易案</w:t>
      </w:r>
      <w:bookmarkStart w:id="0" w:name="_GoBack"/>
      <w:bookmarkEnd w:id="0"/>
      <w:r>
        <w:rPr>
          <w:rFonts w:hint="eastAsia" w:ascii="仿宋" w:hAnsi="仿宋" w:eastAsia="仿宋" w:cs="仿宋"/>
          <w:sz w:val="32"/>
          <w:szCs w:val="32"/>
        </w:rPr>
        <w:t>例。</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修改理由：删除不易操作的部分</w:t>
      </w:r>
      <w:r>
        <w:rPr>
          <w:rFonts w:hint="eastAsia" w:ascii="仿宋" w:hAnsi="仿宋" w:eastAsia="仿宋" w:cs="仿宋"/>
          <w:sz w:val="32"/>
          <w:szCs w:val="32"/>
          <w:lang w:eastAsia="zh-CN"/>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（九）删除原第五、第六、第三十六条</w:t>
      </w:r>
      <w:r>
        <w:rPr>
          <w:rFonts w:hint="eastAsia" w:ascii="仿宋" w:hAnsi="仿宋" w:eastAsia="仿宋" w:cs="仿宋"/>
          <w:sz w:val="32"/>
          <w:szCs w:val="32"/>
          <w:lang w:eastAsia="zh-CN"/>
        </w:rPr>
        <w:t>。</w:t>
      </w:r>
    </w:p>
    <w:p>
      <w:pPr>
        <w:spacing w:line="48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修改理由：根据资产评估法相应修改。</w:t>
      </w:r>
    </w:p>
    <w:p>
      <w:pPr>
        <w:spacing w:line="480" w:lineRule="auto"/>
        <w:ind w:firstLine="640" w:firstLineChars="200"/>
        <w:rPr>
          <w:rFonts w:hint="eastAsia" w:ascii="仿宋" w:hAnsi="仿宋" w:eastAsia="仿宋" w:cs="仿宋"/>
          <w:sz w:val="32"/>
          <w:szCs w:val="32"/>
        </w:rPr>
      </w:pPr>
    </w:p>
    <w:p>
      <w:pPr>
        <w:spacing w:line="480" w:lineRule="auto"/>
        <w:ind w:firstLine="643" w:firstLineChars="200"/>
        <w:rPr>
          <w:rFonts w:ascii="仿宋" w:hAnsi="仿宋" w:eastAsia="仿宋" w:cs="仿宋"/>
          <w:b/>
          <w:sz w:val="32"/>
          <w:szCs w:val="32"/>
        </w:rPr>
      </w:pPr>
      <w:r>
        <w:rPr>
          <w:rFonts w:hint="eastAsia" w:ascii="仿宋" w:hAnsi="仿宋" w:eastAsia="仿宋" w:cs="仿宋"/>
          <w:b/>
          <w:sz w:val="32"/>
          <w:szCs w:val="32"/>
        </w:rPr>
        <w:t>二、部分修改的主要条款</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（一）原第十一条中的“</w:t>
      </w:r>
      <w:r>
        <w:rPr>
          <w:rFonts w:hint="eastAsia" w:ascii="仿宋" w:hAnsi="仿宋" w:eastAsia="仿宋" w:cs="仿宋"/>
          <w:b/>
          <w:bCs/>
          <w:sz w:val="32"/>
          <w:szCs w:val="32"/>
        </w:rPr>
        <w:t>注册资产评估师</w:t>
      </w:r>
      <w:r>
        <w:rPr>
          <w:rFonts w:hint="eastAsia" w:ascii="仿宋" w:hAnsi="仿宋" w:eastAsia="仿宋" w:cs="仿宋"/>
          <w:sz w:val="32"/>
          <w:szCs w:val="32"/>
        </w:rPr>
        <w:t>执行专利资产评估业务，应当勤勉尽责，保持应有的职业谨慎，避免出现对评估结论具有重大影响的疏漏，不得以预先设定的价值作为评估结论。”修改为现第九条的“执行专利资产评估业务，应当勤勉尽责，保持应有的职业谨慎，</w:t>
      </w:r>
      <w:r>
        <w:rPr>
          <w:rFonts w:hint="eastAsia" w:ascii="仿宋" w:hAnsi="仿宋" w:eastAsia="仿宋" w:cs="仿宋"/>
          <w:b/>
          <w:bCs/>
          <w:sz w:val="32"/>
          <w:szCs w:val="32"/>
        </w:rPr>
        <w:t>不受委托人或相关当事人的非法干预，独立进行分析、估算并形成专业意见，不得出现对评估结果具有重大影响的实质性疏漏或重大错误</w:t>
      </w:r>
      <w:r>
        <w:rPr>
          <w:rFonts w:hint="eastAsia" w:ascii="仿宋" w:hAnsi="仿宋" w:eastAsia="仿宋" w:cs="仿宋"/>
          <w:sz w:val="32"/>
          <w:szCs w:val="32"/>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修改理由：根据其他准则修订相应修改</w:t>
      </w:r>
      <w:r>
        <w:rPr>
          <w:rFonts w:hint="eastAsia" w:ascii="仿宋" w:hAnsi="仿宋" w:eastAsia="仿宋" w:cs="仿宋"/>
          <w:sz w:val="32"/>
          <w:szCs w:val="32"/>
          <w:lang w:eastAsia="zh-CN"/>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（二）原第十二条“应当明确专利使用权的</w:t>
      </w:r>
      <w:r>
        <w:rPr>
          <w:rFonts w:hint="eastAsia" w:ascii="仿宋" w:hAnsi="仿宋" w:eastAsia="仿宋" w:cs="仿宋"/>
          <w:b/>
          <w:bCs/>
          <w:sz w:val="32"/>
          <w:szCs w:val="32"/>
        </w:rPr>
        <w:t>具体形式</w:t>
      </w:r>
      <w:r>
        <w:rPr>
          <w:rFonts w:hint="eastAsia" w:ascii="仿宋" w:hAnsi="仿宋" w:eastAsia="仿宋" w:cs="仿宋"/>
          <w:sz w:val="32"/>
          <w:szCs w:val="32"/>
        </w:rPr>
        <w:t>。”修改为现第十条 “应当明确专利使用权的</w:t>
      </w:r>
      <w:r>
        <w:rPr>
          <w:rFonts w:hint="eastAsia" w:ascii="仿宋" w:hAnsi="仿宋" w:eastAsia="仿宋" w:cs="仿宋"/>
          <w:b/>
          <w:bCs/>
          <w:sz w:val="32"/>
          <w:szCs w:val="32"/>
        </w:rPr>
        <w:t>许可形式、许可内容及许可期限</w:t>
      </w:r>
      <w:r>
        <w:rPr>
          <w:rFonts w:hint="eastAsia" w:ascii="仿宋" w:hAnsi="仿宋" w:eastAsia="仿宋" w:cs="仿宋"/>
          <w:sz w:val="32"/>
          <w:szCs w:val="32"/>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修改理由：增加描述，条目更完善，指引功能更准确</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（三）原第十五条“</w:t>
      </w:r>
      <w:r>
        <w:rPr>
          <w:rFonts w:hint="eastAsia" w:ascii="仿宋" w:hAnsi="仿宋" w:eastAsia="仿宋" w:cs="仿宋"/>
          <w:b/>
          <w:bCs/>
          <w:sz w:val="32"/>
          <w:szCs w:val="32"/>
        </w:rPr>
        <w:t>获利能力</w:t>
      </w:r>
      <w:r>
        <w:rPr>
          <w:rFonts w:hint="eastAsia" w:ascii="仿宋" w:hAnsi="仿宋" w:eastAsia="仿宋" w:cs="仿宋"/>
          <w:sz w:val="32"/>
          <w:szCs w:val="32"/>
        </w:rPr>
        <w:t>”修改为现十三条“</w:t>
      </w:r>
      <w:r>
        <w:rPr>
          <w:rFonts w:hint="eastAsia" w:ascii="仿宋" w:hAnsi="仿宋" w:eastAsia="仿宋" w:cs="仿宋"/>
          <w:b/>
          <w:bCs/>
          <w:sz w:val="32"/>
          <w:szCs w:val="32"/>
        </w:rPr>
        <w:t>获利状况</w:t>
      </w:r>
      <w:r>
        <w:rPr>
          <w:rFonts w:hint="eastAsia" w:ascii="仿宋" w:hAnsi="仿宋" w:eastAsia="仿宋" w:cs="仿宋"/>
          <w:sz w:val="32"/>
          <w:szCs w:val="32"/>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修改理由：获利能力不易获取</w:t>
      </w:r>
      <w:r>
        <w:rPr>
          <w:rFonts w:hint="eastAsia" w:ascii="仿宋" w:hAnsi="仿宋" w:eastAsia="仿宋" w:cs="仿宋"/>
          <w:sz w:val="32"/>
          <w:szCs w:val="32"/>
          <w:lang w:eastAsia="zh-CN"/>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（四）原第三十七条修改为现三十六条“编制专利资产评估报告应反映专利资产的特点，通常包括以下内容……”</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修改理由：修改措辞，描述更准确</w:t>
      </w:r>
      <w:r>
        <w:rPr>
          <w:rFonts w:hint="eastAsia" w:ascii="仿宋" w:hAnsi="仿宋" w:eastAsia="仿宋" w:cs="仿宋"/>
          <w:sz w:val="32"/>
          <w:szCs w:val="32"/>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DA9"/>
    <w:rsid w:val="0008294B"/>
    <w:rsid w:val="000C6977"/>
    <w:rsid w:val="00145136"/>
    <w:rsid w:val="00197DA9"/>
    <w:rsid w:val="001B50D4"/>
    <w:rsid w:val="001C577D"/>
    <w:rsid w:val="001E0FF3"/>
    <w:rsid w:val="001F4E76"/>
    <w:rsid w:val="002366B7"/>
    <w:rsid w:val="002425A8"/>
    <w:rsid w:val="00245AB1"/>
    <w:rsid w:val="0027234C"/>
    <w:rsid w:val="002953DC"/>
    <w:rsid w:val="002A494E"/>
    <w:rsid w:val="002E1DA0"/>
    <w:rsid w:val="00345E2F"/>
    <w:rsid w:val="003A7012"/>
    <w:rsid w:val="003B18D1"/>
    <w:rsid w:val="003B1A0D"/>
    <w:rsid w:val="003E31CF"/>
    <w:rsid w:val="003E37EB"/>
    <w:rsid w:val="0040492C"/>
    <w:rsid w:val="004B2539"/>
    <w:rsid w:val="004D1125"/>
    <w:rsid w:val="004D610E"/>
    <w:rsid w:val="005544DC"/>
    <w:rsid w:val="00586FE4"/>
    <w:rsid w:val="00592475"/>
    <w:rsid w:val="005A4CC2"/>
    <w:rsid w:val="005D5034"/>
    <w:rsid w:val="005E7C13"/>
    <w:rsid w:val="006056AF"/>
    <w:rsid w:val="006941BF"/>
    <w:rsid w:val="006A003F"/>
    <w:rsid w:val="006E048B"/>
    <w:rsid w:val="0075344B"/>
    <w:rsid w:val="007B11A7"/>
    <w:rsid w:val="007C5E0E"/>
    <w:rsid w:val="007E4B20"/>
    <w:rsid w:val="00804A31"/>
    <w:rsid w:val="008179B9"/>
    <w:rsid w:val="00832E8A"/>
    <w:rsid w:val="008352D3"/>
    <w:rsid w:val="008B35CF"/>
    <w:rsid w:val="008D747A"/>
    <w:rsid w:val="0094567E"/>
    <w:rsid w:val="00953FA8"/>
    <w:rsid w:val="00995BF7"/>
    <w:rsid w:val="009A0B64"/>
    <w:rsid w:val="009D4683"/>
    <w:rsid w:val="009E1084"/>
    <w:rsid w:val="009F6F41"/>
    <w:rsid w:val="00A13224"/>
    <w:rsid w:val="00A20AC2"/>
    <w:rsid w:val="00A2693F"/>
    <w:rsid w:val="00A45623"/>
    <w:rsid w:val="00A766D1"/>
    <w:rsid w:val="00A8224F"/>
    <w:rsid w:val="00AC78C8"/>
    <w:rsid w:val="00AD2FC0"/>
    <w:rsid w:val="00AE7C29"/>
    <w:rsid w:val="00B2631A"/>
    <w:rsid w:val="00B41D41"/>
    <w:rsid w:val="00B45378"/>
    <w:rsid w:val="00B72F48"/>
    <w:rsid w:val="00B95C1F"/>
    <w:rsid w:val="00BD4CEE"/>
    <w:rsid w:val="00BE795B"/>
    <w:rsid w:val="00C3449D"/>
    <w:rsid w:val="00C43641"/>
    <w:rsid w:val="00C962D6"/>
    <w:rsid w:val="00D10D98"/>
    <w:rsid w:val="00D1124E"/>
    <w:rsid w:val="00DC2FCA"/>
    <w:rsid w:val="00DE265D"/>
    <w:rsid w:val="00E32B40"/>
    <w:rsid w:val="00E41A18"/>
    <w:rsid w:val="00E643DD"/>
    <w:rsid w:val="00E866B7"/>
    <w:rsid w:val="00EC1008"/>
    <w:rsid w:val="00EE1CED"/>
    <w:rsid w:val="00F3674A"/>
    <w:rsid w:val="00F94864"/>
    <w:rsid w:val="00FD5530"/>
    <w:rsid w:val="00FE135E"/>
    <w:rsid w:val="00FF287D"/>
    <w:rsid w:val="014D1B1B"/>
    <w:rsid w:val="01587605"/>
    <w:rsid w:val="01724BC9"/>
    <w:rsid w:val="02106B61"/>
    <w:rsid w:val="02A7342D"/>
    <w:rsid w:val="02D31E68"/>
    <w:rsid w:val="03590D98"/>
    <w:rsid w:val="03F4046E"/>
    <w:rsid w:val="04A502BF"/>
    <w:rsid w:val="053F2ADE"/>
    <w:rsid w:val="054A590E"/>
    <w:rsid w:val="05541FD6"/>
    <w:rsid w:val="05A00170"/>
    <w:rsid w:val="069B6982"/>
    <w:rsid w:val="07DE5587"/>
    <w:rsid w:val="07E13A8D"/>
    <w:rsid w:val="08875AA8"/>
    <w:rsid w:val="08CC545E"/>
    <w:rsid w:val="09090BAC"/>
    <w:rsid w:val="09B51A32"/>
    <w:rsid w:val="0A387D89"/>
    <w:rsid w:val="0B716E6D"/>
    <w:rsid w:val="0C0A629C"/>
    <w:rsid w:val="0C2C6E59"/>
    <w:rsid w:val="0C491FBE"/>
    <w:rsid w:val="0C783895"/>
    <w:rsid w:val="0CC62F81"/>
    <w:rsid w:val="0D0641C8"/>
    <w:rsid w:val="0D941348"/>
    <w:rsid w:val="0DEE7FE3"/>
    <w:rsid w:val="0EF2207A"/>
    <w:rsid w:val="100C7D85"/>
    <w:rsid w:val="10551ABD"/>
    <w:rsid w:val="10607D70"/>
    <w:rsid w:val="11696D46"/>
    <w:rsid w:val="1208149D"/>
    <w:rsid w:val="121764BB"/>
    <w:rsid w:val="132B3F51"/>
    <w:rsid w:val="13337B33"/>
    <w:rsid w:val="1356688C"/>
    <w:rsid w:val="13844489"/>
    <w:rsid w:val="1448146E"/>
    <w:rsid w:val="15703732"/>
    <w:rsid w:val="15907D44"/>
    <w:rsid w:val="160D4DFE"/>
    <w:rsid w:val="161F4B27"/>
    <w:rsid w:val="16377F07"/>
    <w:rsid w:val="163F3253"/>
    <w:rsid w:val="165755EA"/>
    <w:rsid w:val="16E7609B"/>
    <w:rsid w:val="176F2E91"/>
    <w:rsid w:val="178F6EE1"/>
    <w:rsid w:val="17EA68B1"/>
    <w:rsid w:val="18ED5369"/>
    <w:rsid w:val="196A0DB4"/>
    <w:rsid w:val="19BC78A5"/>
    <w:rsid w:val="19C91EFD"/>
    <w:rsid w:val="1A771A1B"/>
    <w:rsid w:val="1AAE0B28"/>
    <w:rsid w:val="1AFB32CF"/>
    <w:rsid w:val="1B355B0B"/>
    <w:rsid w:val="1CB95B4E"/>
    <w:rsid w:val="1D0F0FA6"/>
    <w:rsid w:val="1D427CE7"/>
    <w:rsid w:val="1D6818EA"/>
    <w:rsid w:val="1DD37DB6"/>
    <w:rsid w:val="1DEC4830"/>
    <w:rsid w:val="1E665DD1"/>
    <w:rsid w:val="1ECB57F3"/>
    <w:rsid w:val="1ED90E64"/>
    <w:rsid w:val="1EFF6F78"/>
    <w:rsid w:val="1FCF4EDC"/>
    <w:rsid w:val="20434136"/>
    <w:rsid w:val="204B598E"/>
    <w:rsid w:val="2121304C"/>
    <w:rsid w:val="21DC0226"/>
    <w:rsid w:val="22241D27"/>
    <w:rsid w:val="23323679"/>
    <w:rsid w:val="239671E5"/>
    <w:rsid w:val="23A50A14"/>
    <w:rsid w:val="23DA04A9"/>
    <w:rsid w:val="241D61D7"/>
    <w:rsid w:val="24420AF6"/>
    <w:rsid w:val="244D185F"/>
    <w:rsid w:val="24AD42A0"/>
    <w:rsid w:val="262428FB"/>
    <w:rsid w:val="268D2C87"/>
    <w:rsid w:val="269328A8"/>
    <w:rsid w:val="282F25B9"/>
    <w:rsid w:val="284112CE"/>
    <w:rsid w:val="286E1F48"/>
    <w:rsid w:val="288D5ED3"/>
    <w:rsid w:val="28FB56BA"/>
    <w:rsid w:val="2A041B1B"/>
    <w:rsid w:val="2A302EAE"/>
    <w:rsid w:val="2AA62BFB"/>
    <w:rsid w:val="2C117D94"/>
    <w:rsid w:val="2C515116"/>
    <w:rsid w:val="2D51633C"/>
    <w:rsid w:val="2D5C6F18"/>
    <w:rsid w:val="2D951CD7"/>
    <w:rsid w:val="2D9E06D1"/>
    <w:rsid w:val="2E1B40DA"/>
    <w:rsid w:val="2E841961"/>
    <w:rsid w:val="2F961B26"/>
    <w:rsid w:val="2FAC1D66"/>
    <w:rsid w:val="2FBF4B31"/>
    <w:rsid w:val="2FF0628E"/>
    <w:rsid w:val="30556A14"/>
    <w:rsid w:val="305B054C"/>
    <w:rsid w:val="305B0B19"/>
    <w:rsid w:val="30874FE6"/>
    <w:rsid w:val="30E429D1"/>
    <w:rsid w:val="30F35871"/>
    <w:rsid w:val="317B77AD"/>
    <w:rsid w:val="31E50C1D"/>
    <w:rsid w:val="326921CC"/>
    <w:rsid w:val="331C0296"/>
    <w:rsid w:val="332630ED"/>
    <w:rsid w:val="336B13DE"/>
    <w:rsid w:val="33837B6A"/>
    <w:rsid w:val="33B56607"/>
    <w:rsid w:val="33C24A0F"/>
    <w:rsid w:val="34154E02"/>
    <w:rsid w:val="343765CD"/>
    <w:rsid w:val="349C1372"/>
    <w:rsid w:val="353458CC"/>
    <w:rsid w:val="358912FE"/>
    <w:rsid w:val="370825DA"/>
    <w:rsid w:val="38863F74"/>
    <w:rsid w:val="39DC65C0"/>
    <w:rsid w:val="3A3D502F"/>
    <w:rsid w:val="3A465815"/>
    <w:rsid w:val="3AA83EF3"/>
    <w:rsid w:val="3B4C36F6"/>
    <w:rsid w:val="3B5962B6"/>
    <w:rsid w:val="3D1E6312"/>
    <w:rsid w:val="3D7D41C2"/>
    <w:rsid w:val="3DCC23E1"/>
    <w:rsid w:val="3E81033E"/>
    <w:rsid w:val="3EFB0B05"/>
    <w:rsid w:val="3F6619DF"/>
    <w:rsid w:val="404F27B0"/>
    <w:rsid w:val="40637080"/>
    <w:rsid w:val="406F5F34"/>
    <w:rsid w:val="40761CFB"/>
    <w:rsid w:val="40A0433B"/>
    <w:rsid w:val="41470E54"/>
    <w:rsid w:val="41E95A89"/>
    <w:rsid w:val="421F3C62"/>
    <w:rsid w:val="42765D39"/>
    <w:rsid w:val="42D17B63"/>
    <w:rsid w:val="43067F2D"/>
    <w:rsid w:val="43480F1A"/>
    <w:rsid w:val="438E1E8C"/>
    <w:rsid w:val="43E67FBA"/>
    <w:rsid w:val="43E70341"/>
    <w:rsid w:val="43F61D1A"/>
    <w:rsid w:val="44DF1F42"/>
    <w:rsid w:val="44E54492"/>
    <w:rsid w:val="456E2D1E"/>
    <w:rsid w:val="46317218"/>
    <w:rsid w:val="467E2385"/>
    <w:rsid w:val="46A3521A"/>
    <w:rsid w:val="474D1B5A"/>
    <w:rsid w:val="479E5861"/>
    <w:rsid w:val="47D01E76"/>
    <w:rsid w:val="488D6B47"/>
    <w:rsid w:val="48A3285B"/>
    <w:rsid w:val="4AAA6B59"/>
    <w:rsid w:val="4B2E7A5F"/>
    <w:rsid w:val="4B7E15FE"/>
    <w:rsid w:val="4B882D8A"/>
    <w:rsid w:val="4B9A122F"/>
    <w:rsid w:val="4BC47239"/>
    <w:rsid w:val="4C013CF0"/>
    <w:rsid w:val="4C144149"/>
    <w:rsid w:val="4CEA236C"/>
    <w:rsid w:val="4D8A4087"/>
    <w:rsid w:val="4DA75CFD"/>
    <w:rsid w:val="4E681793"/>
    <w:rsid w:val="4EC1452A"/>
    <w:rsid w:val="4EF16780"/>
    <w:rsid w:val="4FB51C5F"/>
    <w:rsid w:val="4FE43BF6"/>
    <w:rsid w:val="50B702E3"/>
    <w:rsid w:val="50D42923"/>
    <w:rsid w:val="51C47A59"/>
    <w:rsid w:val="51FF34DC"/>
    <w:rsid w:val="524E1490"/>
    <w:rsid w:val="52E973AC"/>
    <w:rsid w:val="53AE67F9"/>
    <w:rsid w:val="53B97701"/>
    <w:rsid w:val="549F6A14"/>
    <w:rsid w:val="54BD5EA5"/>
    <w:rsid w:val="54D1361A"/>
    <w:rsid w:val="54DE78C9"/>
    <w:rsid w:val="54EB0DB7"/>
    <w:rsid w:val="5516492B"/>
    <w:rsid w:val="552F223A"/>
    <w:rsid w:val="55792E3D"/>
    <w:rsid w:val="55810562"/>
    <w:rsid w:val="558877A6"/>
    <w:rsid w:val="55933FF1"/>
    <w:rsid w:val="559724F3"/>
    <w:rsid w:val="56932510"/>
    <w:rsid w:val="56BD41AC"/>
    <w:rsid w:val="56CE2B10"/>
    <w:rsid w:val="56F26D7A"/>
    <w:rsid w:val="572F289E"/>
    <w:rsid w:val="57952044"/>
    <w:rsid w:val="58124A68"/>
    <w:rsid w:val="58580761"/>
    <w:rsid w:val="587C0230"/>
    <w:rsid w:val="592D2D9D"/>
    <w:rsid w:val="59A831DE"/>
    <w:rsid w:val="59CE6E09"/>
    <w:rsid w:val="59E70E7F"/>
    <w:rsid w:val="5A52740B"/>
    <w:rsid w:val="5AAA45A9"/>
    <w:rsid w:val="5B280CAA"/>
    <w:rsid w:val="5CA32C0E"/>
    <w:rsid w:val="5CD71C3D"/>
    <w:rsid w:val="5D7C2E55"/>
    <w:rsid w:val="5D7F2D99"/>
    <w:rsid w:val="5E237770"/>
    <w:rsid w:val="5EEE5BEF"/>
    <w:rsid w:val="5F88611C"/>
    <w:rsid w:val="60344AA5"/>
    <w:rsid w:val="60B646B4"/>
    <w:rsid w:val="60C07345"/>
    <w:rsid w:val="61221F34"/>
    <w:rsid w:val="61292137"/>
    <w:rsid w:val="62C0582F"/>
    <w:rsid w:val="62F86C77"/>
    <w:rsid w:val="631F76AB"/>
    <w:rsid w:val="63346AD5"/>
    <w:rsid w:val="633D7CF4"/>
    <w:rsid w:val="63894425"/>
    <w:rsid w:val="63A076B5"/>
    <w:rsid w:val="63AA1D98"/>
    <w:rsid w:val="645858DC"/>
    <w:rsid w:val="6485430C"/>
    <w:rsid w:val="64876406"/>
    <w:rsid w:val="64B36AE7"/>
    <w:rsid w:val="65670AA1"/>
    <w:rsid w:val="658C7682"/>
    <w:rsid w:val="65A0692F"/>
    <w:rsid w:val="678656E7"/>
    <w:rsid w:val="67CF526D"/>
    <w:rsid w:val="683740DB"/>
    <w:rsid w:val="684E3A92"/>
    <w:rsid w:val="68C822E8"/>
    <w:rsid w:val="68D10A82"/>
    <w:rsid w:val="68EA483B"/>
    <w:rsid w:val="69300ADC"/>
    <w:rsid w:val="69C533C0"/>
    <w:rsid w:val="6ABB72BD"/>
    <w:rsid w:val="6B297B01"/>
    <w:rsid w:val="6C015C52"/>
    <w:rsid w:val="6C132929"/>
    <w:rsid w:val="6C1F7259"/>
    <w:rsid w:val="6C5E0E49"/>
    <w:rsid w:val="6C5F3F7F"/>
    <w:rsid w:val="6D181417"/>
    <w:rsid w:val="6D8B63A4"/>
    <w:rsid w:val="6D967950"/>
    <w:rsid w:val="6DF20A0C"/>
    <w:rsid w:val="6EEE3F1B"/>
    <w:rsid w:val="6F140B0F"/>
    <w:rsid w:val="6FE81BA0"/>
    <w:rsid w:val="70173E49"/>
    <w:rsid w:val="70CB37A1"/>
    <w:rsid w:val="70CB60D4"/>
    <w:rsid w:val="70CC0F13"/>
    <w:rsid w:val="70ED043D"/>
    <w:rsid w:val="70F127CA"/>
    <w:rsid w:val="71136029"/>
    <w:rsid w:val="716219FD"/>
    <w:rsid w:val="71A66E6F"/>
    <w:rsid w:val="71D849D2"/>
    <w:rsid w:val="720B0A7C"/>
    <w:rsid w:val="72D00FF4"/>
    <w:rsid w:val="733A728F"/>
    <w:rsid w:val="736173B5"/>
    <w:rsid w:val="73A906BB"/>
    <w:rsid w:val="73EF74E6"/>
    <w:rsid w:val="74826361"/>
    <w:rsid w:val="74862F09"/>
    <w:rsid w:val="74D73178"/>
    <w:rsid w:val="75115858"/>
    <w:rsid w:val="76193F1D"/>
    <w:rsid w:val="761C468D"/>
    <w:rsid w:val="76B36B09"/>
    <w:rsid w:val="777E3689"/>
    <w:rsid w:val="780040E5"/>
    <w:rsid w:val="781456CA"/>
    <w:rsid w:val="796467CA"/>
    <w:rsid w:val="798C272D"/>
    <w:rsid w:val="79B32A0C"/>
    <w:rsid w:val="79ED3C95"/>
    <w:rsid w:val="79FB7746"/>
    <w:rsid w:val="7A221B50"/>
    <w:rsid w:val="7A866268"/>
    <w:rsid w:val="7B0C323B"/>
    <w:rsid w:val="7B524B5B"/>
    <w:rsid w:val="7B8D07FD"/>
    <w:rsid w:val="7BAA147A"/>
    <w:rsid w:val="7BD2591C"/>
    <w:rsid w:val="7C4E30C0"/>
    <w:rsid w:val="7C871918"/>
    <w:rsid w:val="7D0B4E5A"/>
    <w:rsid w:val="7DC4395D"/>
    <w:rsid w:val="7DE41EB1"/>
    <w:rsid w:val="7E4F7ED1"/>
    <w:rsid w:val="7F107457"/>
    <w:rsid w:val="7F5D0F37"/>
    <w:rsid w:val="7F6B1516"/>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4"/>
    <w:unhideWhenUsed/>
    <w:qFormat/>
    <w:uiPriority w:val="99"/>
    <w:rPr>
      <w:b/>
      <w:bCs/>
    </w:rPr>
  </w:style>
  <w:style w:type="paragraph" w:styleId="3">
    <w:name w:val="annotation text"/>
    <w:basedOn w:val="1"/>
    <w:link w:val="13"/>
    <w:unhideWhenUsed/>
    <w:qFormat/>
    <w:uiPriority w:val="99"/>
    <w:pPr>
      <w:jc w:val="left"/>
    </w:pPr>
  </w:style>
  <w:style w:type="paragraph" w:styleId="4">
    <w:name w:val="Balloon Text"/>
    <w:basedOn w:val="1"/>
    <w:link w:val="12"/>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annotation reference"/>
    <w:basedOn w:val="7"/>
    <w:unhideWhenUsed/>
    <w:qFormat/>
    <w:uiPriority w:val="99"/>
    <w:rPr>
      <w:sz w:val="21"/>
      <w:szCs w:val="21"/>
    </w:rPr>
  </w:style>
  <w:style w:type="character" w:customStyle="1" w:styleId="10">
    <w:name w:val="页眉 Char"/>
    <w:basedOn w:val="7"/>
    <w:link w:val="6"/>
    <w:semiHidden/>
    <w:qFormat/>
    <w:uiPriority w:val="99"/>
    <w:rPr>
      <w:rFonts w:ascii="Times New Roman" w:hAnsi="Times New Roman" w:eastAsia="宋体" w:cs="Times New Roman"/>
      <w:sz w:val="18"/>
      <w:szCs w:val="18"/>
    </w:rPr>
  </w:style>
  <w:style w:type="character" w:customStyle="1" w:styleId="11">
    <w:name w:val="页脚 Char"/>
    <w:basedOn w:val="7"/>
    <w:link w:val="5"/>
    <w:semiHidden/>
    <w:qFormat/>
    <w:uiPriority w:val="99"/>
    <w:rPr>
      <w:rFonts w:ascii="Times New Roman" w:hAnsi="Times New Roman" w:eastAsia="宋体" w:cs="Times New Roman"/>
      <w:sz w:val="18"/>
      <w:szCs w:val="18"/>
    </w:rPr>
  </w:style>
  <w:style w:type="character" w:customStyle="1" w:styleId="12">
    <w:name w:val="批注框文本 Char"/>
    <w:basedOn w:val="7"/>
    <w:link w:val="4"/>
    <w:semiHidden/>
    <w:qFormat/>
    <w:uiPriority w:val="99"/>
    <w:rPr>
      <w:rFonts w:ascii="Times New Roman" w:hAnsi="Times New Roman" w:eastAsia="宋体" w:cs="Times New Roman"/>
      <w:kern w:val="2"/>
      <w:sz w:val="18"/>
      <w:szCs w:val="18"/>
    </w:rPr>
  </w:style>
  <w:style w:type="character" w:customStyle="1" w:styleId="13">
    <w:name w:val="批注文字 Char"/>
    <w:basedOn w:val="7"/>
    <w:link w:val="3"/>
    <w:semiHidden/>
    <w:qFormat/>
    <w:uiPriority w:val="99"/>
    <w:rPr>
      <w:rFonts w:ascii="Times New Roman" w:hAnsi="Times New Roman" w:eastAsia="宋体" w:cs="Times New Roman"/>
      <w:kern w:val="2"/>
      <w:sz w:val="21"/>
      <w:szCs w:val="24"/>
    </w:rPr>
  </w:style>
  <w:style w:type="character" w:customStyle="1" w:styleId="14">
    <w:name w:val="批注主题 Char"/>
    <w:basedOn w:val="13"/>
    <w:link w:val="2"/>
    <w:semiHidden/>
    <w:qFormat/>
    <w:uiPriority w:val="99"/>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5</Pages>
  <Words>321</Words>
  <Characters>1834</Characters>
  <Lines>15</Lines>
  <Paragraphs>4</Paragraphs>
  <ScaleCrop>false</ScaleCrop>
  <LinksUpToDate>false</LinksUpToDate>
  <CharactersWithSpaces>2151</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2016-08-25T08:08:00Z</dcterms:created>
  <dc:creator>wangchonghu</dc:creator>
  <cp:lastModifiedBy>gjy</cp:lastModifiedBy>
  <dcterms:modified xsi:type="dcterms:W3CDTF">2016-10-28T02:57:14Z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