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b/>
          <w:sz w:val="30"/>
          <w:szCs w:val="30"/>
        </w:rPr>
      </w:pPr>
      <w:r>
        <w:rPr>
          <w:rFonts w:hint="eastAsia"/>
          <w:b/>
          <w:sz w:val="30"/>
          <w:szCs w:val="30"/>
        </w:rPr>
        <w:t>专利资产评估指导意见</w:t>
      </w:r>
    </w:p>
    <w:p>
      <w:pPr>
        <w:snapToGrid w:val="0"/>
        <w:spacing w:beforeLines="50" w:line="360" w:lineRule="auto"/>
        <w:jc w:val="center"/>
        <w:rPr>
          <w:rFonts w:ascii="宋体" w:hAnsi="宋体"/>
          <w:b/>
          <w:sz w:val="28"/>
          <w:szCs w:val="28"/>
        </w:rPr>
      </w:pPr>
      <w:r>
        <w:rPr>
          <w:rFonts w:hint="eastAsia" w:ascii="宋体" w:hAnsi="宋体"/>
          <w:b/>
          <w:sz w:val="28"/>
          <w:szCs w:val="28"/>
        </w:rPr>
        <w:t>（修订征求</w:t>
      </w:r>
      <w:r>
        <w:rPr>
          <w:rFonts w:hint="eastAsia" w:ascii="宋体" w:hAnsi="宋体"/>
          <w:b/>
          <w:sz w:val="28"/>
          <w:szCs w:val="28"/>
          <w:lang w:val="en-US" w:eastAsia="zh-CN"/>
        </w:rPr>
        <w:t>意见</w:t>
      </w:r>
      <w:bookmarkStart w:id="0" w:name="_GoBack"/>
      <w:bookmarkEnd w:id="0"/>
      <w:r>
        <w:rPr>
          <w:rFonts w:hint="eastAsia" w:ascii="宋体" w:hAnsi="宋体"/>
          <w:b/>
          <w:sz w:val="28"/>
          <w:szCs w:val="28"/>
        </w:rPr>
        <w:t>稿）</w:t>
      </w:r>
    </w:p>
    <w:p>
      <w:pPr>
        <w:spacing w:line="400" w:lineRule="exact"/>
        <w:ind w:firstLine="602" w:firstLineChars="200"/>
        <w:jc w:val="center"/>
        <w:rPr>
          <w:b/>
          <w:sz w:val="30"/>
          <w:szCs w:val="30"/>
        </w:rPr>
      </w:pPr>
    </w:p>
    <w:p>
      <w:pPr>
        <w:spacing w:afterLines="50" w:line="400" w:lineRule="exact"/>
        <w:jc w:val="center"/>
        <w:rPr>
          <w:b/>
        </w:rPr>
      </w:pPr>
      <w:r>
        <w:rPr>
          <w:rFonts w:hint="eastAsia"/>
          <w:b/>
        </w:rPr>
        <w:t>第一章</w:t>
      </w:r>
      <w:r>
        <w:rPr>
          <w:rFonts w:hint="eastAsia"/>
          <w:b/>
        </w:rPr>
        <w:tab/>
      </w:r>
      <w:r>
        <w:rPr>
          <w:rFonts w:hint="eastAsia"/>
          <w:b/>
        </w:rPr>
        <w:t>总则</w:t>
      </w:r>
    </w:p>
    <w:p>
      <w:pPr>
        <w:spacing w:line="360" w:lineRule="auto"/>
        <w:ind w:firstLine="420" w:firstLineChars="200"/>
      </w:pPr>
      <w:r>
        <w:rPr>
          <w:rFonts w:hint="eastAsia"/>
        </w:rPr>
        <w:t>第一条 为规范执行专利资产评估业务，保护资产评估当事人的合法权益和公共利益，根据《资产评估准则——无形资产》，制定本准则。</w:t>
      </w:r>
    </w:p>
    <w:p>
      <w:pPr>
        <w:spacing w:line="360" w:lineRule="auto"/>
        <w:ind w:firstLine="420" w:firstLineChars="200"/>
      </w:pPr>
      <w:r>
        <w:rPr>
          <w:rFonts w:hint="eastAsia"/>
        </w:rPr>
        <w:t>第二条 本指导意见所称专利资产，是指专利权人拥有或者控制的，能持续发挥作用并且能带来经济利益的专利权益。</w:t>
      </w:r>
    </w:p>
    <w:p>
      <w:pPr>
        <w:spacing w:line="360" w:lineRule="auto"/>
        <w:ind w:firstLine="420" w:firstLineChars="200"/>
      </w:pPr>
      <w:r>
        <w:rPr>
          <w:rFonts w:hint="eastAsia"/>
        </w:rPr>
        <w:t>第三条 本指导意见所称专利资产评估，是指资产评估机构及其资产评估专业人员遵守相关法律法规及资产评估准则的要求，根据委托对在评估基准日特定目的下的专利资产价值进行评定、估算，并出具评估报告的专业服务行为。</w:t>
      </w:r>
    </w:p>
    <w:p>
      <w:pPr>
        <w:spacing w:line="360" w:lineRule="auto"/>
        <w:ind w:firstLine="420" w:firstLineChars="200"/>
      </w:pPr>
      <w:r>
        <w:rPr>
          <w:rFonts w:hint="eastAsia"/>
        </w:rPr>
        <w:t>第四条 执行专利资产评估业务，应当遵守本指导意见。</w:t>
      </w:r>
    </w:p>
    <w:p>
      <w:pPr>
        <w:spacing w:line="400" w:lineRule="exact"/>
        <w:ind w:firstLine="420" w:firstLineChars="200"/>
      </w:pPr>
    </w:p>
    <w:p>
      <w:pPr>
        <w:spacing w:afterLines="50" w:line="400" w:lineRule="exact"/>
        <w:jc w:val="center"/>
        <w:rPr>
          <w:b/>
        </w:rPr>
      </w:pPr>
      <w:r>
        <w:rPr>
          <w:rFonts w:hint="eastAsia"/>
          <w:b/>
        </w:rPr>
        <w:t>第二章</w:t>
      </w:r>
      <w:r>
        <w:rPr>
          <w:rFonts w:hint="eastAsia"/>
          <w:b/>
        </w:rPr>
        <w:tab/>
      </w:r>
      <w:r>
        <w:rPr>
          <w:rFonts w:hint="eastAsia"/>
          <w:b/>
        </w:rPr>
        <w:t>基本要求</w:t>
      </w:r>
    </w:p>
    <w:p>
      <w:pPr>
        <w:spacing w:line="360" w:lineRule="auto"/>
        <w:ind w:firstLine="420" w:firstLineChars="200"/>
      </w:pPr>
      <w:r>
        <w:rPr>
          <w:rFonts w:hint="eastAsia"/>
        </w:rPr>
        <w:t>第五条 执行专利资产评估业务，应当具备专利资产评估的相关专业知识及评估经验，具有从事专利资产评估的专业胜任能力。执行某项特定业务缺乏特定的专业知识和经验时，应当采取恰当的弥补措施，包括聘请专家协助工作。聘请相关专家协助工作以及引用专业报告，应当遵守《资产评估准则-利用专家工作》的相关规定。</w:t>
      </w:r>
    </w:p>
    <w:p>
      <w:pPr>
        <w:spacing w:line="360" w:lineRule="auto"/>
        <w:ind w:firstLine="420" w:firstLineChars="200"/>
      </w:pPr>
      <w:r>
        <w:rPr>
          <w:rFonts w:hint="eastAsia"/>
        </w:rPr>
        <w:t>第六条 执行企业价值评估中的专利资产评估业务，应当了解在对持续经营前提下的企业价值进行评估时，专利资产作为企业资产的一个组成部分时的价值有别于作为单项资产的价值，其价值取决于它对企业价值的贡献程度。</w:t>
      </w:r>
    </w:p>
    <w:p>
      <w:pPr>
        <w:spacing w:line="360" w:lineRule="auto"/>
        <w:ind w:firstLine="420" w:firstLineChars="200"/>
      </w:pPr>
      <w:r>
        <w:rPr>
          <w:rFonts w:hint="eastAsia"/>
        </w:rPr>
        <w:t>第七条 执行专利资产评估业务，应当在合理考虑评估目的、市场条件、评估对象自身条件等因素的基础上，恰当选择价值类型。</w:t>
      </w:r>
    </w:p>
    <w:p>
      <w:pPr>
        <w:spacing w:line="360" w:lineRule="auto"/>
        <w:ind w:firstLine="420" w:firstLineChars="200"/>
      </w:pPr>
      <w:r>
        <w:rPr>
          <w:rFonts w:hint="eastAsia"/>
        </w:rPr>
        <w:t>以质押为目的可以选择市场价值或者市场价值以外的价值类型，以交易为目的一般选择市场价值或投资价值，以财务报告为目的一般根据会计准则相关要求选择相应的价值类型。</w:t>
      </w:r>
    </w:p>
    <w:p>
      <w:pPr>
        <w:spacing w:line="360" w:lineRule="auto"/>
        <w:ind w:firstLine="420" w:firstLineChars="200"/>
      </w:pPr>
      <w:r>
        <w:rPr>
          <w:rFonts w:hint="eastAsia"/>
        </w:rPr>
        <w:t>第八条 执行专利资产评估业务，应当合理确定评估假设及限定条件。</w:t>
      </w:r>
    </w:p>
    <w:p>
      <w:pPr>
        <w:spacing w:line="360" w:lineRule="auto"/>
        <w:ind w:firstLine="420" w:firstLineChars="200"/>
      </w:pPr>
      <w:r>
        <w:rPr>
          <w:rFonts w:hint="eastAsia"/>
        </w:rPr>
        <w:t>第九条 执行专利资产评估业务，应当勤勉尽责，保持应有的职业谨慎，不受委托人或相关当事人的非法干预，独立进行分析、估算并形成专业意见，不得出现对评估结果具有重大影响的实质性疏漏或重大错误。</w:t>
      </w:r>
    </w:p>
    <w:p>
      <w:pPr>
        <w:spacing w:line="400" w:lineRule="exact"/>
        <w:ind w:firstLine="422" w:firstLineChars="200"/>
        <w:jc w:val="center"/>
        <w:rPr>
          <w:b/>
        </w:rPr>
      </w:pPr>
    </w:p>
    <w:p>
      <w:pPr>
        <w:spacing w:afterLines="50" w:line="400" w:lineRule="exact"/>
        <w:jc w:val="center"/>
        <w:rPr>
          <w:b/>
        </w:rPr>
      </w:pPr>
      <w:r>
        <w:rPr>
          <w:rFonts w:hint="eastAsia"/>
          <w:b/>
        </w:rPr>
        <w:t>第三章</w:t>
      </w:r>
      <w:r>
        <w:rPr>
          <w:rFonts w:hint="eastAsia"/>
          <w:b/>
        </w:rPr>
        <w:tab/>
      </w:r>
      <w:r>
        <w:rPr>
          <w:rFonts w:hint="eastAsia"/>
          <w:b/>
        </w:rPr>
        <w:t>评估对象</w:t>
      </w:r>
    </w:p>
    <w:p>
      <w:pPr>
        <w:spacing w:line="360" w:lineRule="auto"/>
        <w:ind w:firstLine="420" w:firstLineChars="200"/>
      </w:pPr>
      <w:r>
        <w:rPr>
          <w:rFonts w:hint="eastAsia"/>
        </w:rPr>
        <w:t>第十条 专利资产评估业务的评估对象是指专利资产权益，包括专利所有权和专利使用权。专利使用权的具体形式包括专利权独占许可、独家许可、普通许可和其他许可形式。</w:t>
      </w:r>
    </w:p>
    <w:p>
      <w:pPr>
        <w:spacing w:line="360" w:lineRule="auto"/>
        <w:ind w:firstLine="420" w:firstLineChars="200"/>
      </w:pPr>
      <w:r>
        <w:rPr>
          <w:rFonts w:hint="eastAsia"/>
        </w:rPr>
        <w:t>执行专利资产评估业务，应当明确专利资产的权利属性。评估对象为专利所有权的，应当关注专利权是否已许可他人使用及使用权的具体形式，并关注其对专利所有权价值的影响。评估对象为专利使用权的，应当明确专利使用权的许可形式、许可内容及许可期限。</w:t>
      </w:r>
    </w:p>
    <w:p>
      <w:pPr>
        <w:spacing w:line="360" w:lineRule="auto"/>
        <w:ind w:firstLine="420" w:firstLineChars="200"/>
      </w:pPr>
      <w:r>
        <w:rPr>
          <w:rFonts w:hint="eastAsia"/>
        </w:rPr>
        <w:t>第十一条 执行专利资产评估业务，应当要求委托人明确专利资产的基本状况。专利资产的基本状况通常包括：</w:t>
      </w:r>
    </w:p>
    <w:p>
      <w:pPr>
        <w:spacing w:line="360" w:lineRule="auto"/>
        <w:ind w:firstLine="420" w:firstLineChars="200"/>
      </w:pPr>
      <w:r>
        <w:rPr>
          <w:rFonts w:hint="eastAsia"/>
        </w:rPr>
        <w:t>（一）专利名称；</w:t>
      </w:r>
    </w:p>
    <w:p>
      <w:pPr>
        <w:spacing w:line="360" w:lineRule="auto"/>
        <w:ind w:firstLine="420" w:firstLineChars="200"/>
      </w:pPr>
      <w:r>
        <w:rPr>
          <w:rFonts w:hint="eastAsia"/>
        </w:rPr>
        <w:t>（二）专利类别；</w:t>
      </w:r>
    </w:p>
    <w:p>
      <w:pPr>
        <w:spacing w:line="360" w:lineRule="auto"/>
        <w:ind w:firstLine="420" w:firstLineChars="200"/>
      </w:pPr>
      <w:r>
        <w:rPr>
          <w:rFonts w:hint="eastAsia"/>
        </w:rPr>
        <w:t>（三）专利申请的国别或者地区；</w:t>
      </w:r>
    </w:p>
    <w:p>
      <w:pPr>
        <w:spacing w:line="360" w:lineRule="auto"/>
        <w:ind w:firstLine="420" w:firstLineChars="200"/>
      </w:pPr>
      <w:r>
        <w:rPr>
          <w:rFonts w:hint="eastAsia"/>
        </w:rPr>
        <w:t>（四）专利申请号或者专利号；</w:t>
      </w:r>
    </w:p>
    <w:p>
      <w:pPr>
        <w:spacing w:line="360" w:lineRule="auto"/>
        <w:ind w:firstLine="420" w:firstLineChars="200"/>
      </w:pPr>
      <w:r>
        <w:rPr>
          <w:rFonts w:hint="eastAsia"/>
        </w:rPr>
        <w:t>（五）专利的法律状态；</w:t>
      </w:r>
    </w:p>
    <w:p>
      <w:pPr>
        <w:spacing w:line="360" w:lineRule="auto"/>
        <w:ind w:firstLine="420" w:firstLineChars="200"/>
      </w:pPr>
      <w:r>
        <w:rPr>
          <w:rFonts w:hint="eastAsia"/>
        </w:rPr>
        <w:t>（六）专利申请日；</w:t>
      </w:r>
    </w:p>
    <w:p>
      <w:pPr>
        <w:spacing w:line="360" w:lineRule="auto"/>
        <w:ind w:firstLine="420" w:firstLineChars="200"/>
      </w:pPr>
      <w:r>
        <w:rPr>
          <w:rFonts w:hint="eastAsia"/>
        </w:rPr>
        <w:t>（七）专利授权日；</w:t>
      </w:r>
    </w:p>
    <w:p>
      <w:pPr>
        <w:spacing w:line="360" w:lineRule="auto"/>
        <w:ind w:firstLine="420" w:firstLineChars="200"/>
      </w:pPr>
      <w:r>
        <w:rPr>
          <w:rFonts w:hint="eastAsia"/>
        </w:rPr>
        <w:t>（八）专利权利要求书所记载的主权利要求；</w:t>
      </w:r>
    </w:p>
    <w:p>
      <w:pPr>
        <w:spacing w:line="360" w:lineRule="auto"/>
        <w:ind w:firstLine="420" w:firstLineChars="200"/>
      </w:pPr>
      <w:r>
        <w:rPr>
          <w:rFonts w:hint="eastAsia"/>
        </w:rPr>
        <w:t>（九）专利使用权利。</w:t>
      </w:r>
    </w:p>
    <w:p>
      <w:pPr>
        <w:spacing w:line="360" w:lineRule="auto"/>
        <w:ind w:firstLine="420" w:firstLineChars="200"/>
      </w:pPr>
      <w:r>
        <w:rPr>
          <w:rFonts w:hint="eastAsia"/>
        </w:rPr>
        <w:t>第十二条 执行专利资产评估业务，应当关注专利的法律状态。专利的法律状态通常包括专利申请人或者专利权人及其变更情况，专利所处的专利审批阶段、年费缴纳情况、专利权的终止、专利权的恢复、专利权的质押，以及是否涉及法律诉讼或者处于复审、宣告无效状态。</w:t>
      </w:r>
    </w:p>
    <w:p>
      <w:pPr>
        <w:spacing w:line="360" w:lineRule="auto"/>
        <w:ind w:firstLine="420" w:firstLineChars="200"/>
      </w:pPr>
      <w:r>
        <w:rPr>
          <w:rFonts w:hint="eastAsia"/>
        </w:rPr>
        <w:t>第十三条 执行专利资产评估业务，应当关注专利资产的技术状况、实施状况及获利状况。</w:t>
      </w:r>
    </w:p>
    <w:p>
      <w:pPr>
        <w:spacing w:line="360" w:lineRule="auto"/>
        <w:ind w:firstLine="420" w:firstLineChars="200"/>
      </w:pPr>
      <w:r>
        <w:rPr>
          <w:rFonts w:hint="eastAsia"/>
        </w:rPr>
        <w:t>第十四条 执行专利资产评估业务，应当在要求委托人根据评估对象的具体情况和评估目的对专利资产进行合理的分离或者合并的基础上，恰当进行单项专利资产或者专利资产组合的评估。</w:t>
      </w:r>
    </w:p>
    <w:p>
      <w:pPr>
        <w:spacing w:line="360" w:lineRule="auto"/>
        <w:ind w:firstLine="420" w:firstLineChars="200"/>
      </w:pPr>
      <w:r>
        <w:rPr>
          <w:rFonts w:hint="eastAsia"/>
        </w:rPr>
        <w:t>第十五条 执行质押、诉讼目的的专利资产评估业务，应当要求委托人提交由国家知识产权局出具的专利登记簿副本。评估对象为实用新型专利的，应当要求委托人提供实用新型专利检索报告，当实用新型专利数量较多时，应当恰当选取部分实用新型专利由委托人提供检索报告。 </w:t>
      </w:r>
    </w:p>
    <w:p>
      <w:pPr>
        <w:spacing w:line="400" w:lineRule="exact"/>
        <w:ind w:firstLine="420" w:firstLineChars="200"/>
      </w:pPr>
    </w:p>
    <w:p>
      <w:pPr>
        <w:spacing w:afterLines="50" w:line="400" w:lineRule="exact"/>
        <w:jc w:val="center"/>
        <w:rPr>
          <w:b/>
        </w:rPr>
      </w:pPr>
      <w:r>
        <w:rPr>
          <w:rFonts w:hint="eastAsia"/>
          <w:b/>
        </w:rPr>
        <w:t>第四章</w:t>
      </w:r>
      <w:r>
        <w:rPr>
          <w:rFonts w:hint="eastAsia"/>
          <w:b/>
        </w:rPr>
        <w:tab/>
      </w:r>
      <w:r>
        <w:rPr>
          <w:rFonts w:hint="eastAsia"/>
          <w:b/>
        </w:rPr>
        <w:t>操作要求</w:t>
      </w:r>
    </w:p>
    <w:p>
      <w:pPr>
        <w:spacing w:line="360" w:lineRule="auto"/>
        <w:ind w:firstLine="420" w:firstLineChars="200"/>
      </w:pPr>
      <w:r>
        <w:rPr>
          <w:rFonts w:hint="eastAsia"/>
        </w:rPr>
        <w:t>第十六条 执行专利资产评估业务，应当对专利及其实施情况进行调查，通常包括必要的现场调查、市场调查，并收集相关信息、资料等。</w:t>
      </w:r>
    </w:p>
    <w:p>
      <w:pPr>
        <w:spacing w:line="360" w:lineRule="auto"/>
        <w:ind w:firstLine="420" w:firstLineChars="200"/>
      </w:pPr>
      <w:r>
        <w:rPr>
          <w:rFonts w:hint="eastAsia"/>
        </w:rPr>
        <w:t>调查过程收集的相关信息、资料通常包括：</w:t>
      </w:r>
    </w:p>
    <w:p>
      <w:pPr>
        <w:spacing w:line="360" w:lineRule="auto"/>
        <w:ind w:firstLine="420" w:firstLineChars="200"/>
      </w:pPr>
      <w:r>
        <w:rPr>
          <w:rFonts w:hint="eastAsia"/>
        </w:rPr>
        <w:t>（一）专利资产的权利人及实施企业基本情况；</w:t>
      </w:r>
    </w:p>
    <w:p>
      <w:pPr>
        <w:spacing w:line="360" w:lineRule="auto"/>
        <w:ind w:firstLine="420" w:firstLineChars="200"/>
      </w:pPr>
      <w:r>
        <w:rPr>
          <w:rFonts w:hint="eastAsia"/>
        </w:rPr>
        <w:t>（二）专利证书、最近一期的专利缴费凭证；</w:t>
      </w:r>
    </w:p>
    <w:p>
      <w:pPr>
        <w:spacing w:line="360" w:lineRule="auto"/>
        <w:ind w:firstLine="420" w:firstLineChars="200"/>
      </w:pPr>
      <w:r>
        <w:rPr>
          <w:rFonts w:hint="eastAsia"/>
        </w:rPr>
        <w:t>（三）专利权利要求书、专利说明书及其附图；</w:t>
      </w:r>
    </w:p>
    <w:p>
      <w:pPr>
        <w:spacing w:line="360" w:lineRule="auto"/>
        <w:ind w:firstLine="420" w:firstLineChars="200"/>
      </w:pPr>
      <w:r>
        <w:rPr>
          <w:rFonts w:hint="eastAsia"/>
        </w:rPr>
        <w:t>（四）专利技术的研发过程、技术实验报告，专利资产所属技术领域的发展状况、技术水平、技术成熟度、同类技术竞争状况、技术更新速度等有关信息、资料；如果技术效果需检测，还应当收集相关产品检测报告；</w:t>
      </w:r>
    </w:p>
    <w:p>
      <w:pPr>
        <w:spacing w:line="360" w:lineRule="auto"/>
        <w:ind w:firstLine="420" w:firstLineChars="200"/>
      </w:pPr>
      <w:r>
        <w:rPr>
          <w:rFonts w:hint="eastAsia"/>
        </w:rPr>
        <w:t>（五）与分析专利产品的适用范围、市场需求、市场前景及市场寿命、相关行业政策发展状况、宏观经济、同类产品的竞争状况、专利产品的获利能力等相关的信息、资料；</w:t>
      </w:r>
    </w:p>
    <w:p>
      <w:pPr>
        <w:spacing w:line="360" w:lineRule="auto"/>
        <w:ind w:firstLine="420" w:firstLineChars="200"/>
      </w:pPr>
      <w:r>
        <w:rPr>
          <w:rFonts w:hint="eastAsia"/>
        </w:rPr>
        <w:t>（六）以往的评估和交易情况，包括专利权转让合同、实施许可合同及其他交易情况。</w:t>
      </w:r>
    </w:p>
    <w:p>
      <w:pPr>
        <w:spacing w:line="360" w:lineRule="auto"/>
        <w:ind w:firstLine="420" w:firstLineChars="200"/>
      </w:pPr>
      <w:r>
        <w:rPr>
          <w:rFonts w:hint="eastAsia"/>
        </w:rPr>
        <w:t>第十七条 执行专利资产评估业务，应当尽可能获取与专利资产相关的财务数据及专利实施企业经审计的财务报表，对专利资产的相关财务数据进行必要的分析。</w:t>
      </w:r>
    </w:p>
    <w:p>
      <w:pPr>
        <w:spacing w:line="360" w:lineRule="auto"/>
        <w:ind w:firstLine="420" w:firstLineChars="200"/>
      </w:pPr>
      <w:r>
        <w:rPr>
          <w:rFonts w:hint="eastAsia"/>
        </w:rPr>
        <w:t>第十八条 执行专利资产评估业务，应当分析下列事项及其对专利资产价值的影响：</w:t>
      </w:r>
    </w:p>
    <w:p>
      <w:pPr>
        <w:spacing w:line="360" w:lineRule="auto"/>
        <w:ind w:firstLine="420" w:firstLineChars="200"/>
      </w:pPr>
      <w:r>
        <w:rPr>
          <w:rFonts w:hint="eastAsia"/>
        </w:rPr>
        <w:t>（一）专利权利要求书、专利说明书及其附图的内容；</w:t>
      </w:r>
    </w:p>
    <w:p>
      <w:pPr>
        <w:spacing w:line="360" w:lineRule="auto"/>
        <w:ind w:firstLine="420" w:firstLineChars="200"/>
      </w:pPr>
      <w:r>
        <w:rPr>
          <w:rFonts w:hint="eastAsia"/>
        </w:rPr>
        <w:t>（二）专利权利要求书所记载的专利技术产品与其实施企业所生产产品的对应性。</w:t>
      </w:r>
    </w:p>
    <w:p>
      <w:pPr>
        <w:spacing w:line="360" w:lineRule="auto"/>
        <w:ind w:firstLine="420" w:firstLineChars="200"/>
      </w:pPr>
      <w:r>
        <w:rPr>
          <w:rFonts w:hint="eastAsia"/>
        </w:rPr>
        <w:t>第十九条 执行专利资产评估业务，应当对影响专利资产价值的法律因素进行分析，通常包括专利资产的权利属性及权利限制、专利类别、专利的法律状态、专利剩余法定保护期限、专利的保护范围等。资产评估师和其他资产评估专业人员应当关注专利所有权与使用权的差异、专利使用权的具体形式、以往许可和转让的情况对专利资产价值的影响。</w:t>
      </w:r>
    </w:p>
    <w:p>
      <w:pPr>
        <w:spacing w:line="360" w:lineRule="auto"/>
        <w:ind w:firstLine="420" w:firstLineChars="200"/>
      </w:pPr>
      <w:r>
        <w:rPr>
          <w:rFonts w:hint="eastAsia"/>
        </w:rPr>
        <w:t>资产评估师和其他资产评估专业人员应当关注发明、实用新型、外观设计的审批条件、审批程序、保护范围、保护期限、审批阶段的差异对专利资产价值的影响。</w:t>
      </w:r>
    </w:p>
    <w:p>
      <w:pPr>
        <w:spacing w:line="360" w:lineRule="auto"/>
        <w:ind w:firstLine="420" w:firstLineChars="200"/>
      </w:pPr>
      <w:r>
        <w:rPr>
          <w:rFonts w:hint="eastAsia"/>
        </w:rPr>
        <w:t>资产评估师和其他资产评估专业人员应当关注专利所处审批阶段，专利是否涉及法律诉讼或者处于复审、宣告无效状态，以及专利有效性维持情况对专利资产价值的影响。</w:t>
      </w:r>
    </w:p>
    <w:p>
      <w:pPr>
        <w:spacing w:line="360" w:lineRule="auto"/>
        <w:ind w:firstLine="420" w:firstLineChars="200"/>
      </w:pPr>
      <w:r>
        <w:rPr>
          <w:rFonts w:hint="eastAsia"/>
        </w:rPr>
        <w:t>第二十条 执行专利资产评估业务，应当对影响专利资产价值的技术因素进行分析，通常包括替代性、先进性、创新性、成熟度、实用性、防御性、垄断性等。</w:t>
      </w:r>
    </w:p>
    <w:p>
      <w:pPr>
        <w:spacing w:line="360" w:lineRule="auto"/>
        <w:ind w:firstLine="420" w:firstLineChars="200"/>
      </w:pPr>
      <w:r>
        <w:rPr>
          <w:rFonts w:hint="eastAsia"/>
        </w:rPr>
        <w:t>第二十一条 对影响专利资产价值的经济因素进行分析时，通常包括专利资产的取得成本、获利状况、许可费、类似资产的交易价格等。市场应用情况、市场规模情况、市场占有率、竞争情况。</w:t>
      </w:r>
    </w:p>
    <w:p>
      <w:pPr>
        <w:spacing w:line="360" w:lineRule="auto"/>
        <w:ind w:firstLine="420" w:firstLineChars="200"/>
      </w:pPr>
      <w:r>
        <w:rPr>
          <w:rFonts w:hint="eastAsia"/>
        </w:rPr>
        <w:t>第二十二条 当专利资产与其他资产共同发挥作用时，资产评估师和其他资产评估专业人员应当分析专利资产的作用，合理确定该专利资产的价值。</w:t>
      </w:r>
    </w:p>
    <w:p>
      <w:pPr>
        <w:spacing w:line="360" w:lineRule="auto"/>
        <w:ind w:firstLine="420" w:firstLineChars="200"/>
      </w:pPr>
      <w:r>
        <w:rPr>
          <w:rFonts w:hint="eastAsia"/>
        </w:rPr>
        <w:t>第二十三条 执行专利资产评估业务，应当关注经营条件等对专利资产作用和价值的影响。</w:t>
      </w:r>
    </w:p>
    <w:p>
      <w:pPr>
        <w:spacing w:line="360" w:lineRule="auto"/>
        <w:ind w:firstLine="420" w:firstLineChars="200"/>
      </w:pPr>
      <w:r>
        <w:rPr>
          <w:rFonts w:hint="eastAsia"/>
        </w:rPr>
        <w:t>第二十四条 执行专利资产法律诉讼评估业务，应当关注相关案情基本情况、经过质证的资料以及专利权的历史诉讼情况。</w:t>
      </w:r>
    </w:p>
    <w:p>
      <w:pPr>
        <w:spacing w:line="360" w:lineRule="auto"/>
        <w:ind w:firstLine="420" w:firstLineChars="200"/>
      </w:pPr>
      <w:r>
        <w:rPr>
          <w:rFonts w:hint="eastAsia"/>
        </w:rPr>
        <w:t>第二十五条 执行专利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360" w:lineRule="auto"/>
        <w:ind w:firstLine="420" w:firstLineChars="200"/>
      </w:pPr>
      <w:r>
        <w:rPr>
          <w:rFonts w:hint="eastAsia"/>
        </w:rPr>
        <w:t>第二十六条 运用收益法进行专利资产评估时，应当收集专利产品的相关收入、成本、费用等数据。</w:t>
      </w:r>
    </w:p>
    <w:p>
      <w:pPr>
        <w:spacing w:line="360" w:lineRule="auto"/>
        <w:ind w:firstLine="420" w:firstLineChars="200"/>
      </w:pPr>
      <w:r>
        <w:rPr>
          <w:rFonts w:hint="eastAsia"/>
        </w:rPr>
        <w:t>资产评估师和其他资产评估专业人员应当对委托人或者相关当事人提供的专利未来实施情况和收益状况的预测进行必要的分析、判断和调整，确信相关预测的合理性。</w:t>
      </w:r>
    </w:p>
    <w:p>
      <w:pPr>
        <w:spacing w:line="360" w:lineRule="auto"/>
        <w:ind w:firstLine="420" w:firstLineChars="200"/>
      </w:pPr>
      <w:r>
        <w:rPr>
          <w:rFonts w:hint="eastAsia"/>
        </w:rPr>
        <w:t>资产评估师和其他资产评估专业人员应当根据专利资产的具体情况选择恰当的收益口径。</w:t>
      </w:r>
    </w:p>
    <w:p>
      <w:pPr>
        <w:spacing w:line="360" w:lineRule="auto"/>
        <w:ind w:firstLine="420" w:firstLineChars="200"/>
      </w:pPr>
      <w:r>
        <w:rPr>
          <w:rFonts w:hint="eastAsia"/>
        </w:rPr>
        <w:t>第二十七条 运用收益法进行专利资产评估时，应合理确定预期收益。</w:t>
      </w:r>
    </w:p>
    <w:p>
      <w:pPr>
        <w:spacing w:line="360" w:lineRule="auto"/>
        <w:ind w:firstLine="420" w:firstLineChars="200"/>
      </w:pPr>
      <w:r>
        <w:rPr>
          <w:rFonts w:hint="eastAsia"/>
        </w:rPr>
        <w:t>专利资产的预期收益应当是专利的使用而额外带来的收益，可以通过增量收益、节省许可费、收益分成或者超额收益等方式估算。确定预期收益时，应当区分并剔除与委托评估的专利资产无关的业务产生的收益，并关注以下因素：</w:t>
      </w:r>
    </w:p>
    <w:p>
      <w:pPr>
        <w:spacing w:line="360" w:lineRule="auto"/>
        <w:ind w:firstLine="420" w:firstLineChars="200"/>
      </w:pPr>
      <w:r>
        <w:rPr>
          <w:rFonts w:hint="eastAsia"/>
        </w:rPr>
        <w:t>（一） 专利产品或服务所属行业的市场规模；</w:t>
      </w:r>
    </w:p>
    <w:p>
      <w:pPr>
        <w:spacing w:line="360" w:lineRule="auto"/>
        <w:ind w:firstLine="420" w:firstLineChars="200"/>
      </w:pPr>
      <w:r>
        <w:rPr>
          <w:rFonts w:hint="eastAsia"/>
        </w:rPr>
        <w:t>（二） 专利产品或者服务的市场地位；</w:t>
      </w:r>
    </w:p>
    <w:p>
      <w:pPr>
        <w:spacing w:line="360" w:lineRule="auto"/>
        <w:ind w:firstLine="420" w:firstLineChars="200"/>
      </w:pPr>
      <w:r>
        <w:rPr>
          <w:rFonts w:hint="eastAsia"/>
        </w:rPr>
        <w:t>（三） 相关企业的经营情况。</w:t>
      </w:r>
    </w:p>
    <w:p>
      <w:pPr>
        <w:spacing w:line="360" w:lineRule="auto"/>
        <w:ind w:firstLine="420" w:firstLineChars="200"/>
      </w:pPr>
      <w:r>
        <w:rPr>
          <w:rFonts w:hint="eastAsia"/>
        </w:rPr>
        <w:t>第二十八条 运用收益法进行专利资产评估时，可以通过分析专利资产的技术寿命、技术成熟度、专利法定寿命及与专利资产相关的合同约定期限，合理确定专利资产收益期限。</w:t>
      </w:r>
    </w:p>
    <w:p>
      <w:pPr>
        <w:spacing w:line="360" w:lineRule="auto"/>
        <w:ind w:firstLine="420" w:firstLineChars="200"/>
      </w:pPr>
      <w:r>
        <w:rPr>
          <w:rFonts w:hint="eastAsia"/>
        </w:rPr>
        <w:t>第二十九条 运用收益法进行专利资产评估时，可以通过分析评估基准日的利率、投资回报率，以及专利实施过程中的技术、经营、市场、资金等因素，合理确定折现率。可以采用无风险报酬率加风险报酬率的方式确定专利资产折现率。专利资产折现率应当与预期收益的口径保持一致。</w:t>
      </w:r>
    </w:p>
    <w:p>
      <w:pPr>
        <w:spacing w:line="360" w:lineRule="auto"/>
        <w:ind w:firstLine="420" w:firstLineChars="200"/>
      </w:pPr>
      <w:r>
        <w:rPr>
          <w:rFonts w:hint="eastAsia"/>
        </w:rPr>
        <w:t>第三十条 运用市场法进行专利资产评估时，应当收集足够的可比交易案例。</w:t>
      </w:r>
    </w:p>
    <w:p>
      <w:pPr>
        <w:spacing w:line="360" w:lineRule="auto"/>
        <w:ind w:firstLine="420" w:firstLineChars="200"/>
      </w:pPr>
      <w:r>
        <w:rPr>
          <w:rFonts w:hint="eastAsia"/>
        </w:rPr>
        <w:t>第三十一条 运用市场法进行专利资产评估时，应当对专利资产与可比交易案例之间的各种差异因素进行分析、比较和调整。</w:t>
      </w:r>
    </w:p>
    <w:p>
      <w:pPr>
        <w:spacing w:line="360" w:lineRule="auto"/>
        <w:ind w:firstLine="420" w:firstLineChars="200"/>
      </w:pPr>
      <w:r>
        <w:rPr>
          <w:rFonts w:hint="eastAsia"/>
        </w:rPr>
        <w:t>第三十二条 运用成本法进行专利资产评估时，应当合理确定专利资产的重置成本。重置成本包括合理的成本、利润和相关税费等。</w:t>
      </w:r>
    </w:p>
    <w:p>
      <w:pPr>
        <w:spacing w:line="360" w:lineRule="auto"/>
        <w:ind w:firstLine="420" w:firstLineChars="200"/>
      </w:pPr>
      <w:r>
        <w:rPr>
          <w:rFonts w:hint="eastAsia"/>
        </w:rPr>
        <w:t>确定专利资产重置成本时，应当合理确定形成专利资产所需的直接成本、间接费用、合理的利润及相关的税费等 。</w:t>
      </w:r>
    </w:p>
    <w:p>
      <w:pPr>
        <w:spacing w:line="360" w:lineRule="auto"/>
        <w:ind w:firstLine="420" w:firstLineChars="200"/>
      </w:pPr>
      <w:r>
        <w:rPr>
          <w:rFonts w:hint="eastAsia"/>
        </w:rPr>
        <w:t>第三十三条 运用成本法进行专利资产评估时，应当合理确定贬值。</w:t>
      </w:r>
    </w:p>
    <w:p>
      <w:pPr>
        <w:spacing w:line="360" w:lineRule="auto"/>
        <w:ind w:firstLine="420" w:firstLineChars="200"/>
      </w:pPr>
    </w:p>
    <w:p>
      <w:pPr>
        <w:spacing w:afterLines="50" w:line="400" w:lineRule="exact"/>
        <w:jc w:val="center"/>
        <w:rPr>
          <w:b/>
        </w:rPr>
      </w:pPr>
      <w:r>
        <w:rPr>
          <w:rFonts w:hint="eastAsia"/>
          <w:b/>
        </w:rPr>
        <w:t>第五章</w:t>
      </w:r>
      <w:r>
        <w:rPr>
          <w:rFonts w:hint="eastAsia"/>
          <w:b/>
        </w:rPr>
        <w:tab/>
      </w:r>
      <w:r>
        <w:rPr>
          <w:rFonts w:hint="eastAsia"/>
          <w:b/>
        </w:rPr>
        <w:t>披露要求</w:t>
      </w:r>
    </w:p>
    <w:p>
      <w:pPr>
        <w:spacing w:line="360" w:lineRule="auto"/>
        <w:ind w:firstLine="420" w:firstLineChars="200"/>
      </w:pPr>
      <w:r>
        <w:rPr>
          <w:rFonts w:hint="eastAsia"/>
        </w:rPr>
        <w:t>第三十四条 执行专利资产评估业务，应当在履行必要的评估程序后，根据《资产评估准则——资产评估报告》编制评估报告，并进行恰当披露。</w:t>
      </w:r>
    </w:p>
    <w:p>
      <w:pPr>
        <w:spacing w:line="360" w:lineRule="auto"/>
        <w:ind w:firstLine="420" w:firstLineChars="200"/>
      </w:pPr>
      <w:r>
        <w:rPr>
          <w:rFonts w:hint="eastAsia"/>
        </w:rPr>
        <w:t>第三十五条 执行专利资产评估业务，应当在评估报告中披露必要信息，使评估报告使用人能够合理理解评估结果。</w:t>
      </w:r>
    </w:p>
    <w:p>
      <w:pPr>
        <w:spacing w:line="360" w:lineRule="auto"/>
        <w:ind w:firstLine="420" w:firstLineChars="200"/>
      </w:pPr>
      <w:r>
        <w:rPr>
          <w:rFonts w:hint="eastAsia"/>
        </w:rPr>
        <w:t>第三十六条 编制专利资产评估报告应反映专利资产的特点，通常包括以下内容：</w:t>
      </w:r>
    </w:p>
    <w:p>
      <w:pPr>
        <w:spacing w:line="360" w:lineRule="auto"/>
        <w:ind w:firstLine="420" w:firstLineChars="200"/>
      </w:pPr>
      <w:r>
        <w:rPr>
          <w:rFonts w:hint="eastAsia"/>
        </w:rPr>
        <w:t>（一）评估对象的详细情况，通常包括专利资产的权利属性、使用权具体形式、法律状态、专利申请号及专利权利要求等；</w:t>
      </w:r>
    </w:p>
    <w:p>
      <w:pPr>
        <w:spacing w:line="360" w:lineRule="auto"/>
        <w:ind w:firstLine="420" w:firstLineChars="200"/>
      </w:pPr>
      <w:r>
        <w:rPr>
          <w:rFonts w:hint="eastAsia"/>
        </w:rPr>
        <w:t>（二）专利资产的技术状况和实施状况；</w:t>
      </w:r>
    </w:p>
    <w:p>
      <w:pPr>
        <w:spacing w:line="360" w:lineRule="auto"/>
        <w:ind w:firstLine="420" w:firstLineChars="200"/>
      </w:pPr>
      <w:r>
        <w:rPr>
          <w:rFonts w:hint="eastAsia"/>
        </w:rPr>
        <w:t>（三）对影响专利资产价值的法律因素、技术因素、经济因素的分析过程；</w:t>
      </w:r>
    </w:p>
    <w:p>
      <w:pPr>
        <w:spacing w:line="360" w:lineRule="auto"/>
        <w:ind w:firstLine="420" w:firstLineChars="200"/>
      </w:pPr>
      <w:r>
        <w:rPr>
          <w:rFonts w:hint="eastAsia"/>
        </w:rPr>
        <w:t>（四）专利的实施经营条件；</w:t>
      </w:r>
    </w:p>
    <w:p>
      <w:pPr>
        <w:spacing w:line="360" w:lineRule="auto"/>
        <w:ind w:firstLine="420" w:firstLineChars="200"/>
      </w:pPr>
      <w:r>
        <w:rPr>
          <w:rFonts w:hint="eastAsia"/>
        </w:rPr>
        <w:t>（五）使用的评估假设及限定条件；</w:t>
      </w:r>
    </w:p>
    <w:p>
      <w:pPr>
        <w:spacing w:line="360" w:lineRule="auto"/>
        <w:ind w:firstLine="420" w:firstLineChars="200"/>
      </w:pPr>
      <w:r>
        <w:rPr>
          <w:rFonts w:hint="eastAsia"/>
        </w:rPr>
        <w:t>（六）专利权许可、转让、诉讼、无效请求及质押情况；</w:t>
      </w:r>
    </w:p>
    <w:p>
      <w:pPr>
        <w:spacing w:line="360" w:lineRule="auto"/>
        <w:ind w:firstLine="420" w:firstLineChars="200"/>
      </w:pPr>
      <w:r>
        <w:rPr>
          <w:rFonts w:hint="eastAsia"/>
        </w:rPr>
        <w:t xml:space="preserve">（七）有关评估方法的主要内容，包括评估方法的选取及其理由，评估方法中的运算和逻辑推理方式，各重要参数的来源、分析、比较与测算过程，对初步价值结果进行分析并形成最终评估结果的过程； </w:t>
      </w:r>
    </w:p>
    <w:p>
      <w:pPr>
        <w:spacing w:line="360" w:lineRule="auto"/>
        <w:ind w:firstLine="420" w:firstLineChars="200"/>
      </w:pPr>
      <w:r>
        <w:rPr>
          <w:rFonts w:hint="eastAsia"/>
        </w:rPr>
        <w:t xml:space="preserve">（八）其他必要信息。                      </w:t>
      </w:r>
    </w:p>
    <w:p>
      <w:pPr>
        <w:spacing w:line="400" w:lineRule="exact"/>
        <w:ind w:firstLine="420" w:firstLineChars="200"/>
      </w:pPr>
    </w:p>
    <w:p>
      <w:pPr>
        <w:spacing w:afterLines="50" w:line="400" w:lineRule="exact"/>
        <w:jc w:val="center"/>
        <w:rPr>
          <w:b/>
        </w:rPr>
      </w:pPr>
      <w:r>
        <w:rPr>
          <w:rFonts w:hint="eastAsia"/>
          <w:b/>
        </w:rPr>
        <w:t>第六章</w:t>
      </w:r>
      <w:r>
        <w:rPr>
          <w:rFonts w:hint="eastAsia"/>
          <w:b/>
        </w:rPr>
        <w:tab/>
      </w:r>
      <w:r>
        <w:rPr>
          <w:rFonts w:hint="eastAsia"/>
          <w:b/>
        </w:rPr>
        <w:t>附则</w:t>
      </w:r>
    </w:p>
    <w:p>
      <w:pPr>
        <w:spacing w:line="360" w:lineRule="auto"/>
        <w:ind w:firstLine="420" w:firstLineChars="200"/>
      </w:pPr>
      <w:r>
        <w:rPr>
          <w:rFonts w:hint="eastAsia"/>
        </w:rPr>
        <w:t>第三十七条 本指导意见自年月日起施行。</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5A1F"/>
    <w:rsid w:val="0001593D"/>
    <w:rsid w:val="00081F68"/>
    <w:rsid w:val="00095A1F"/>
    <w:rsid w:val="000A0AE0"/>
    <w:rsid w:val="000A3011"/>
    <w:rsid w:val="000A7DAB"/>
    <w:rsid w:val="000D6D04"/>
    <w:rsid w:val="000E3E64"/>
    <w:rsid w:val="000E782C"/>
    <w:rsid w:val="000E7EEE"/>
    <w:rsid w:val="001078FA"/>
    <w:rsid w:val="00137E72"/>
    <w:rsid w:val="00147346"/>
    <w:rsid w:val="00147615"/>
    <w:rsid w:val="00181E32"/>
    <w:rsid w:val="00191BC8"/>
    <w:rsid w:val="00195E64"/>
    <w:rsid w:val="001A7753"/>
    <w:rsid w:val="001A7F56"/>
    <w:rsid w:val="001B0669"/>
    <w:rsid w:val="001B556E"/>
    <w:rsid w:val="001C675C"/>
    <w:rsid w:val="001E35E8"/>
    <w:rsid w:val="001E5E0D"/>
    <w:rsid w:val="002174EB"/>
    <w:rsid w:val="002340F7"/>
    <w:rsid w:val="00270412"/>
    <w:rsid w:val="002841BC"/>
    <w:rsid w:val="002A7824"/>
    <w:rsid w:val="002B2820"/>
    <w:rsid w:val="002B28EE"/>
    <w:rsid w:val="002B36A0"/>
    <w:rsid w:val="002D2A5B"/>
    <w:rsid w:val="002F1FEC"/>
    <w:rsid w:val="00323D6C"/>
    <w:rsid w:val="00345B0E"/>
    <w:rsid w:val="00353386"/>
    <w:rsid w:val="00353711"/>
    <w:rsid w:val="00370D89"/>
    <w:rsid w:val="003C257E"/>
    <w:rsid w:val="003D33F1"/>
    <w:rsid w:val="003E27CA"/>
    <w:rsid w:val="00400033"/>
    <w:rsid w:val="00411C13"/>
    <w:rsid w:val="0041559C"/>
    <w:rsid w:val="00423110"/>
    <w:rsid w:val="004244B2"/>
    <w:rsid w:val="00433EF6"/>
    <w:rsid w:val="00456F9B"/>
    <w:rsid w:val="00483A7E"/>
    <w:rsid w:val="004967CE"/>
    <w:rsid w:val="004A7E38"/>
    <w:rsid w:val="004B2ADD"/>
    <w:rsid w:val="004D1FDF"/>
    <w:rsid w:val="004E6426"/>
    <w:rsid w:val="005145D2"/>
    <w:rsid w:val="005513B1"/>
    <w:rsid w:val="00592E99"/>
    <w:rsid w:val="00593E67"/>
    <w:rsid w:val="005D0BB7"/>
    <w:rsid w:val="005F25C9"/>
    <w:rsid w:val="00601E0A"/>
    <w:rsid w:val="00604505"/>
    <w:rsid w:val="006060AC"/>
    <w:rsid w:val="00633B7E"/>
    <w:rsid w:val="006355B9"/>
    <w:rsid w:val="00644C97"/>
    <w:rsid w:val="006526F7"/>
    <w:rsid w:val="006851DE"/>
    <w:rsid w:val="00686C58"/>
    <w:rsid w:val="006916DC"/>
    <w:rsid w:val="006B1D80"/>
    <w:rsid w:val="006B4EE7"/>
    <w:rsid w:val="006B5F84"/>
    <w:rsid w:val="006C1278"/>
    <w:rsid w:val="006E22E6"/>
    <w:rsid w:val="00764A37"/>
    <w:rsid w:val="00774568"/>
    <w:rsid w:val="00790EC9"/>
    <w:rsid w:val="007A0F56"/>
    <w:rsid w:val="007C43FB"/>
    <w:rsid w:val="007E599A"/>
    <w:rsid w:val="00801F2A"/>
    <w:rsid w:val="00802BE0"/>
    <w:rsid w:val="00804E3B"/>
    <w:rsid w:val="00841EB0"/>
    <w:rsid w:val="008438FB"/>
    <w:rsid w:val="0087200B"/>
    <w:rsid w:val="0087734F"/>
    <w:rsid w:val="008966D4"/>
    <w:rsid w:val="008A18DF"/>
    <w:rsid w:val="0091469D"/>
    <w:rsid w:val="00924A97"/>
    <w:rsid w:val="00932D02"/>
    <w:rsid w:val="00944514"/>
    <w:rsid w:val="009454D4"/>
    <w:rsid w:val="0094668A"/>
    <w:rsid w:val="00947B5F"/>
    <w:rsid w:val="009602E8"/>
    <w:rsid w:val="00993DD3"/>
    <w:rsid w:val="009A20E4"/>
    <w:rsid w:val="009A7DE3"/>
    <w:rsid w:val="009B2D3C"/>
    <w:rsid w:val="009D67A6"/>
    <w:rsid w:val="009F794B"/>
    <w:rsid w:val="00A07117"/>
    <w:rsid w:val="00A13C65"/>
    <w:rsid w:val="00A14367"/>
    <w:rsid w:val="00A273F7"/>
    <w:rsid w:val="00A85330"/>
    <w:rsid w:val="00AA1A4F"/>
    <w:rsid w:val="00AA210F"/>
    <w:rsid w:val="00AD10E0"/>
    <w:rsid w:val="00AE3F50"/>
    <w:rsid w:val="00B206B9"/>
    <w:rsid w:val="00B404D1"/>
    <w:rsid w:val="00B46E0C"/>
    <w:rsid w:val="00B53412"/>
    <w:rsid w:val="00B54BA6"/>
    <w:rsid w:val="00B605D2"/>
    <w:rsid w:val="00B815CD"/>
    <w:rsid w:val="00BD1780"/>
    <w:rsid w:val="00C10B77"/>
    <w:rsid w:val="00C469CA"/>
    <w:rsid w:val="00C5114E"/>
    <w:rsid w:val="00C82600"/>
    <w:rsid w:val="00CA5DB1"/>
    <w:rsid w:val="00CB1F5E"/>
    <w:rsid w:val="00CB2912"/>
    <w:rsid w:val="00CF679F"/>
    <w:rsid w:val="00D01F14"/>
    <w:rsid w:val="00D14298"/>
    <w:rsid w:val="00D162AE"/>
    <w:rsid w:val="00D24D45"/>
    <w:rsid w:val="00D31B3B"/>
    <w:rsid w:val="00D92F19"/>
    <w:rsid w:val="00DB0B53"/>
    <w:rsid w:val="00DB321E"/>
    <w:rsid w:val="00DC2296"/>
    <w:rsid w:val="00DD191C"/>
    <w:rsid w:val="00DF4BF8"/>
    <w:rsid w:val="00E07D27"/>
    <w:rsid w:val="00E1055A"/>
    <w:rsid w:val="00E20CAC"/>
    <w:rsid w:val="00E30C0E"/>
    <w:rsid w:val="00E341DA"/>
    <w:rsid w:val="00E36C9D"/>
    <w:rsid w:val="00E4743C"/>
    <w:rsid w:val="00E57A8D"/>
    <w:rsid w:val="00E66C7E"/>
    <w:rsid w:val="00E85718"/>
    <w:rsid w:val="00E90E4C"/>
    <w:rsid w:val="00E91C8E"/>
    <w:rsid w:val="00E928F5"/>
    <w:rsid w:val="00ED3777"/>
    <w:rsid w:val="00F109FF"/>
    <w:rsid w:val="00F31333"/>
    <w:rsid w:val="00F34390"/>
    <w:rsid w:val="00F7003A"/>
    <w:rsid w:val="00F747E6"/>
    <w:rsid w:val="00F76385"/>
    <w:rsid w:val="00F77B9F"/>
    <w:rsid w:val="00FB47A9"/>
    <w:rsid w:val="00FB7E57"/>
    <w:rsid w:val="00FC7D9C"/>
    <w:rsid w:val="50CB4EA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1"/>
    <w:uiPriority w:val="0"/>
    <w:rPr>
      <w:b/>
      <w:bCs/>
    </w:rPr>
  </w:style>
  <w:style w:type="paragraph" w:styleId="3">
    <w:name w:val="annotation text"/>
    <w:basedOn w:val="1"/>
    <w:link w:val="10"/>
    <w:qFormat/>
    <w:uiPriority w:val="0"/>
    <w:pPr>
      <w:jc w:val="left"/>
    </w:p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uiPriority w:val="0"/>
    <w:rPr>
      <w:sz w:val="21"/>
      <w:szCs w:val="21"/>
    </w:rPr>
  </w:style>
  <w:style w:type="character" w:customStyle="1" w:styleId="10">
    <w:name w:val="批注文字 Char"/>
    <w:link w:val="3"/>
    <w:uiPriority w:val="0"/>
    <w:rPr>
      <w:kern w:val="2"/>
      <w:sz w:val="21"/>
      <w:szCs w:val="24"/>
    </w:rPr>
  </w:style>
  <w:style w:type="character" w:customStyle="1" w:styleId="11">
    <w:name w:val="批注主题 Char"/>
    <w:link w:val="2"/>
    <w:uiPriority w:val="0"/>
    <w:rPr>
      <w:b/>
      <w:bCs/>
      <w:kern w:val="2"/>
      <w:sz w:val="21"/>
      <w:szCs w:val="24"/>
    </w:rPr>
  </w:style>
  <w:style w:type="paragraph" w:customStyle="1" w:styleId="12">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B1E284-5516-4A12-A1A3-0C91D23DBB15}">
  <ds:schemaRefs/>
</ds:datastoreItem>
</file>

<file path=docProps/app.xml><?xml version="1.0" encoding="utf-8"?>
<Properties xmlns="http://schemas.openxmlformats.org/officeDocument/2006/extended-properties" xmlns:vt="http://schemas.openxmlformats.org/officeDocument/2006/docPropsVTypes">
  <Template>Normal</Template>
  <Company>中国会计视野</Company>
  <Pages>5</Pages>
  <Words>630</Words>
  <Characters>3596</Characters>
  <Lines>29</Lines>
  <Paragraphs>8</Paragraphs>
  <TotalTime>0</TotalTime>
  <ScaleCrop>false</ScaleCrop>
  <LinksUpToDate>false</LinksUpToDate>
  <CharactersWithSpaces>4218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2016-10-11T06:21:00Z</dcterms:created>
  <dc:creator>accliu</dc:creator>
  <cp:lastModifiedBy>gjy</cp:lastModifiedBy>
  <cp:lastPrinted>2016-09-30T09:33:00Z</cp:lastPrinted>
  <dcterms:modified xsi:type="dcterms:W3CDTF">2016-10-28T02:57:33Z</dcterms:modified>
  <dc:title>专利资产评估指导意见</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