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FC" w:rsidRPr="00300EFC" w:rsidRDefault="00485278" w:rsidP="00300EFC">
      <w:pPr>
        <w:widowControl/>
        <w:shd w:val="clear" w:color="auto" w:fill="FAFAFA"/>
        <w:jc w:val="center"/>
        <w:rPr>
          <w:rFonts w:ascii="黑体" w:eastAsia="黑体" w:hAnsi="黑体" w:cs="Arial"/>
          <w:b/>
          <w:bCs/>
          <w:color w:val="333333"/>
          <w:spacing w:val="8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Arial" w:hint="eastAsia"/>
          <w:b/>
          <w:bCs/>
          <w:color w:val="333333"/>
          <w:spacing w:val="8"/>
          <w:kern w:val="0"/>
          <w:sz w:val="44"/>
          <w:szCs w:val="44"/>
        </w:rPr>
        <w:t>注册会计师考试报名</w:t>
      </w:r>
      <w:r w:rsidR="00300EFC" w:rsidRPr="00300EFC">
        <w:rPr>
          <w:rFonts w:ascii="黑体" w:eastAsia="黑体" w:hAnsi="黑体" w:cs="Arial" w:hint="eastAsia"/>
          <w:b/>
          <w:bCs/>
          <w:color w:val="333333"/>
          <w:spacing w:val="8"/>
          <w:kern w:val="0"/>
          <w:sz w:val="44"/>
          <w:szCs w:val="44"/>
        </w:rPr>
        <w:t>电子票据领取指南</w:t>
      </w:r>
    </w:p>
    <w:p w:rsidR="00555F6A" w:rsidRDefault="00555F6A" w:rsidP="00300EFC">
      <w:pPr>
        <w:widowControl/>
        <w:shd w:val="clear" w:color="auto" w:fill="FAFAFA"/>
        <w:ind w:firstLineChars="200" w:firstLine="632"/>
        <w:rPr>
          <w:rFonts w:ascii="黑体" w:eastAsia="黑体" w:hAnsi="黑体" w:cs="Arial"/>
          <w:bCs/>
          <w:color w:val="333333"/>
          <w:spacing w:val="8"/>
          <w:kern w:val="0"/>
          <w:sz w:val="30"/>
          <w:szCs w:val="30"/>
        </w:rPr>
      </w:pPr>
    </w:p>
    <w:p w:rsidR="00300EFC" w:rsidRPr="001C0A7E" w:rsidRDefault="00300EFC" w:rsidP="00300EFC">
      <w:pPr>
        <w:widowControl/>
        <w:shd w:val="clear" w:color="auto" w:fill="FAFAFA"/>
        <w:ind w:firstLineChars="200" w:firstLine="632"/>
        <w:rPr>
          <w:rFonts w:ascii="黑体" w:eastAsia="黑体" w:hAnsi="黑体" w:cs="Arial"/>
          <w:bCs/>
          <w:color w:val="333333"/>
          <w:spacing w:val="8"/>
          <w:kern w:val="0"/>
          <w:sz w:val="30"/>
          <w:szCs w:val="30"/>
        </w:rPr>
      </w:pPr>
      <w:r w:rsidRPr="001C0A7E">
        <w:rPr>
          <w:rFonts w:ascii="黑体" w:eastAsia="黑体" w:hAnsi="黑体" w:cs="Arial" w:hint="eastAsia"/>
          <w:bCs/>
          <w:color w:val="333333"/>
          <w:spacing w:val="8"/>
          <w:kern w:val="0"/>
          <w:sz w:val="30"/>
          <w:szCs w:val="30"/>
        </w:rPr>
        <w:t>注册会计师考试报名电子票据启用</w:t>
      </w:r>
      <w:r w:rsidR="001C0A7E" w:rsidRPr="001C0A7E">
        <w:rPr>
          <w:rFonts w:ascii="黑体" w:eastAsia="黑体" w:hAnsi="黑体" w:cs="Arial" w:hint="eastAsia"/>
          <w:bCs/>
          <w:color w:val="333333"/>
          <w:spacing w:val="8"/>
          <w:kern w:val="0"/>
          <w:sz w:val="30"/>
          <w:szCs w:val="30"/>
        </w:rPr>
        <w:t>说明</w:t>
      </w:r>
      <w:r w:rsidRPr="001C0A7E">
        <w:rPr>
          <w:rFonts w:ascii="黑体" w:eastAsia="黑体" w:hAnsi="黑体" w:cs="Arial" w:hint="eastAsia"/>
          <w:bCs/>
          <w:color w:val="333333"/>
          <w:spacing w:val="8"/>
          <w:kern w:val="0"/>
          <w:sz w:val="30"/>
          <w:szCs w:val="30"/>
        </w:rPr>
        <w:t>:</w:t>
      </w:r>
    </w:p>
    <w:p w:rsidR="00300EFC" w:rsidRPr="001C0A7E" w:rsidRDefault="00300EFC" w:rsidP="00300EFC">
      <w:pPr>
        <w:widowControl/>
        <w:shd w:val="clear" w:color="auto" w:fill="FAFAFA"/>
        <w:ind w:firstLineChars="200" w:firstLine="632"/>
        <w:rPr>
          <w:rFonts w:ascii="仿宋" w:eastAsia="仿宋" w:hAnsi="仿宋" w:cs="Arial"/>
          <w:bCs/>
          <w:color w:val="333333"/>
          <w:spacing w:val="8"/>
          <w:kern w:val="0"/>
          <w:sz w:val="30"/>
          <w:szCs w:val="30"/>
        </w:rPr>
      </w:pPr>
      <w:r w:rsidRPr="001C0A7E">
        <w:rPr>
          <w:rFonts w:ascii="仿宋" w:eastAsia="仿宋" w:hAnsi="仿宋" w:cs="Arial" w:hint="eastAsia"/>
          <w:bCs/>
          <w:color w:val="333333"/>
          <w:spacing w:val="8"/>
          <w:kern w:val="0"/>
          <w:sz w:val="30"/>
          <w:szCs w:val="30"/>
        </w:rPr>
        <w:t>自2020年起，</w:t>
      </w:r>
      <w:r w:rsidR="00122564" w:rsidRPr="001C0A7E">
        <w:rPr>
          <w:rFonts w:ascii="仿宋" w:eastAsia="仿宋" w:hAnsi="仿宋" w:cs="Arial" w:hint="eastAsia"/>
          <w:bCs/>
          <w:color w:val="333333"/>
          <w:spacing w:val="8"/>
          <w:kern w:val="0"/>
          <w:sz w:val="30"/>
          <w:szCs w:val="30"/>
        </w:rPr>
        <w:t>北京注册会计师协会为报名</w:t>
      </w:r>
      <w:r w:rsidRPr="001C0A7E">
        <w:rPr>
          <w:rFonts w:ascii="仿宋" w:eastAsia="仿宋" w:hAnsi="仿宋" w:cs="Arial" w:hint="eastAsia"/>
          <w:bCs/>
          <w:color w:val="333333"/>
          <w:spacing w:val="8"/>
          <w:kern w:val="0"/>
          <w:sz w:val="30"/>
          <w:szCs w:val="30"/>
        </w:rPr>
        <w:t>参加北京地区注册会计师考试的考生</w:t>
      </w:r>
      <w:r w:rsidR="00122564" w:rsidRPr="001C0A7E">
        <w:rPr>
          <w:rFonts w:ascii="仿宋" w:eastAsia="仿宋" w:hAnsi="仿宋" w:cs="Arial" w:hint="eastAsia"/>
          <w:bCs/>
          <w:color w:val="333333"/>
          <w:spacing w:val="8"/>
          <w:kern w:val="0"/>
          <w:sz w:val="30"/>
          <w:szCs w:val="30"/>
        </w:rPr>
        <w:t>统一</w:t>
      </w:r>
      <w:r w:rsidRPr="001C0A7E">
        <w:rPr>
          <w:rFonts w:ascii="仿宋" w:eastAsia="仿宋" w:hAnsi="仿宋" w:cs="Arial" w:hint="eastAsia"/>
          <w:bCs/>
          <w:color w:val="333333"/>
          <w:spacing w:val="8"/>
          <w:kern w:val="0"/>
          <w:sz w:val="30"/>
          <w:szCs w:val="30"/>
        </w:rPr>
        <w:t>开具《北京市非税收入统一票据（电子）》。</w:t>
      </w:r>
    </w:p>
    <w:p w:rsidR="00300EFC" w:rsidRPr="001C0A7E" w:rsidRDefault="00300EFC" w:rsidP="00300EFC">
      <w:pPr>
        <w:widowControl/>
        <w:shd w:val="clear" w:color="auto" w:fill="FAFAFA"/>
        <w:ind w:firstLineChars="200" w:firstLine="632"/>
        <w:rPr>
          <w:rFonts w:ascii="黑体" w:eastAsia="黑体" w:hAnsi="黑体" w:cs="Arial"/>
          <w:bCs/>
          <w:color w:val="333333"/>
          <w:spacing w:val="8"/>
          <w:kern w:val="0"/>
          <w:sz w:val="30"/>
          <w:szCs w:val="30"/>
        </w:rPr>
      </w:pPr>
      <w:r w:rsidRPr="001C0A7E">
        <w:rPr>
          <w:rFonts w:ascii="黑体" w:eastAsia="黑体" w:hAnsi="黑体" w:cs="Arial" w:hint="eastAsia"/>
          <w:bCs/>
          <w:color w:val="333333"/>
          <w:spacing w:val="8"/>
          <w:kern w:val="0"/>
          <w:sz w:val="30"/>
          <w:szCs w:val="30"/>
        </w:rPr>
        <w:t>电子票据领取方式：</w:t>
      </w:r>
    </w:p>
    <w:p w:rsidR="00300EFC" w:rsidRPr="001C0A7E" w:rsidRDefault="00300EFC" w:rsidP="001C0A7E">
      <w:pPr>
        <w:widowControl/>
        <w:shd w:val="clear" w:color="auto" w:fill="FAFAFA"/>
        <w:ind w:firstLineChars="200" w:firstLine="632"/>
        <w:rPr>
          <w:rFonts w:ascii="仿宋" w:eastAsia="仿宋" w:hAnsi="仿宋" w:cs="Arial"/>
          <w:bCs/>
          <w:color w:val="333333"/>
          <w:spacing w:val="8"/>
          <w:kern w:val="0"/>
          <w:sz w:val="30"/>
          <w:szCs w:val="30"/>
        </w:rPr>
      </w:pPr>
      <w:r w:rsidRPr="001C0A7E">
        <w:rPr>
          <w:rFonts w:ascii="仿宋" w:eastAsia="仿宋" w:hAnsi="仿宋" w:cs="Arial" w:hint="eastAsia"/>
          <w:bCs/>
          <w:color w:val="333333"/>
          <w:spacing w:val="8"/>
          <w:kern w:val="0"/>
          <w:sz w:val="30"/>
          <w:szCs w:val="30"/>
        </w:rPr>
        <w:t>北京考办将电子票据信息发送至考生报名时填写的邮箱，考生可在邮箱打印下载。邮箱收到邮件示例如下：</w:t>
      </w:r>
    </w:p>
    <w:p w:rsidR="0062279C" w:rsidRDefault="0062279C" w:rsidP="00555F6A">
      <w:pPr>
        <w:widowControl/>
        <w:shd w:val="clear" w:color="auto" w:fill="FAFAFA"/>
        <w:jc w:val="center"/>
        <w:rPr>
          <w:rFonts w:ascii="宋体" w:eastAsia="宋体" w:hAnsi="宋体" w:cs="Arial"/>
          <w:b/>
          <w:bCs/>
          <w:color w:val="333333"/>
          <w:spacing w:val="8"/>
          <w:kern w:val="0"/>
          <w:sz w:val="30"/>
          <w:szCs w:val="30"/>
        </w:rPr>
      </w:pPr>
      <w:r>
        <w:rPr>
          <w:rFonts w:ascii="宋体" w:eastAsia="宋体" w:hAnsi="宋体" w:cs="Arial"/>
          <w:b/>
          <w:bCs/>
          <w:noProof/>
          <w:color w:val="333333"/>
          <w:spacing w:val="8"/>
          <w:kern w:val="0"/>
          <w:sz w:val="30"/>
          <w:szCs w:val="30"/>
        </w:rPr>
        <w:drawing>
          <wp:inline distT="0" distB="0" distL="0" distR="0">
            <wp:extent cx="5915025" cy="5923321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票据1 - 副本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598" cy="597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7E" w:rsidRPr="001C0A7E" w:rsidRDefault="001C0A7E" w:rsidP="001C0A7E">
      <w:pPr>
        <w:widowControl/>
        <w:shd w:val="clear" w:color="auto" w:fill="FAFAFA"/>
        <w:ind w:firstLineChars="200" w:firstLine="632"/>
        <w:rPr>
          <w:rFonts w:ascii="黑体" w:eastAsia="黑体" w:hAnsi="黑体" w:cs="Arial"/>
          <w:bCs/>
          <w:color w:val="333333"/>
          <w:spacing w:val="8"/>
          <w:kern w:val="0"/>
          <w:sz w:val="30"/>
          <w:szCs w:val="30"/>
        </w:rPr>
      </w:pPr>
      <w:r w:rsidRPr="001C0A7E">
        <w:rPr>
          <w:rFonts w:ascii="黑体" w:eastAsia="黑体" w:hAnsi="黑体" w:cs="Arial" w:hint="eastAsia"/>
          <w:bCs/>
          <w:color w:val="333333"/>
          <w:spacing w:val="8"/>
          <w:kern w:val="0"/>
          <w:sz w:val="30"/>
          <w:szCs w:val="30"/>
        </w:rPr>
        <w:lastRenderedPageBreak/>
        <w:t>票据真伪查验：</w:t>
      </w:r>
    </w:p>
    <w:p w:rsidR="001C0A7E" w:rsidRPr="001C0A7E" w:rsidRDefault="001C0A7E" w:rsidP="001C0A7E">
      <w:pPr>
        <w:widowControl/>
        <w:shd w:val="clear" w:color="auto" w:fill="FAFAFA"/>
        <w:ind w:firstLineChars="200" w:firstLine="632"/>
        <w:rPr>
          <w:rFonts w:ascii="仿宋" w:eastAsia="仿宋" w:hAnsi="仿宋" w:cs="Arial"/>
          <w:bCs/>
          <w:color w:val="333333"/>
          <w:spacing w:val="8"/>
          <w:kern w:val="0"/>
          <w:sz w:val="30"/>
          <w:szCs w:val="30"/>
        </w:rPr>
      </w:pPr>
      <w:r w:rsidRPr="001C0A7E">
        <w:rPr>
          <w:rFonts w:ascii="仿宋" w:eastAsia="仿宋" w:hAnsi="仿宋" w:cs="Arial" w:hint="eastAsia"/>
          <w:bCs/>
          <w:color w:val="333333"/>
          <w:spacing w:val="8"/>
          <w:kern w:val="0"/>
          <w:sz w:val="30"/>
          <w:szCs w:val="30"/>
        </w:rPr>
        <w:t>考生如需查验票据真伪，可点击查验网站：http://fwxt.czj.beijing.gov.cn/pjinfoshow，进入北京市财政局网上信息公示系统，示例如下：</w:t>
      </w:r>
    </w:p>
    <w:p w:rsidR="00300EFC" w:rsidRPr="00300EFC" w:rsidRDefault="00300EFC" w:rsidP="008007B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/>
          <w:b/>
          <w:bCs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Arial" w:hint="eastAsia"/>
          <w:b/>
          <w:bCs/>
          <w:noProof/>
          <w:color w:val="000000"/>
          <w:spacing w:val="8"/>
          <w:kern w:val="0"/>
          <w:sz w:val="24"/>
          <w:szCs w:val="24"/>
        </w:rPr>
        <w:drawing>
          <wp:inline distT="0" distB="0" distL="0" distR="0">
            <wp:extent cx="6120130" cy="4641215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票据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7E" w:rsidRDefault="001C0A7E" w:rsidP="008007B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/>
          <w:b/>
          <w:bCs/>
          <w:color w:val="000000"/>
          <w:spacing w:val="8"/>
          <w:kern w:val="0"/>
          <w:sz w:val="24"/>
          <w:szCs w:val="24"/>
        </w:rPr>
      </w:pPr>
    </w:p>
    <w:p w:rsidR="00300EFC" w:rsidRPr="001C0A7E" w:rsidRDefault="00300EFC" w:rsidP="001C0A7E">
      <w:pPr>
        <w:widowControl/>
        <w:shd w:val="clear" w:color="auto" w:fill="FAFAFA"/>
        <w:spacing w:before="100" w:beforeAutospacing="1" w:after="100" w:afterAutospacing="1"/>
        <w:ind w:firstLineChars="200" w:firstLine="632"/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</w:pPr>
      <w:r w:rsidRPr="001C0A7E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点击</w:t>
      </w:r>
      <w:r w:rsidRPr="001C0A7E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“</w:t>
      </w:r>
      <w:r w:rsidRPr="001C0A7E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电子</w:t>
      </w:r>
      <w:r w:rsidRPr="001C0A7E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票据查验”</w:t>
      </w:r>
      <w:r w:rsidRPr="001C0A7E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，</w:t>
      </w:r>
      <w:r w:rsidRPr="001C0A7E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进入</w:t>
      </w:r>
      <w:r w:rsidRPr="001C0A7E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财政</w:t>
      </w:r>
      <w:r w:rsidRPr="001C0A7E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电子票据查验</w:t>
      </w:r>
      <w:r w:rsidRPr="001C0A7E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页面</w:t>
      </w:r>
      <w:r w:rsidRPr="001C0A7E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，</w:t>
      </w:r>
      <w:r w:rsidRPr="001C0A7E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考生</w:t>
      </w:r>
      <w:r w:rsidRPr="001C0A7E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可按邮件</w:t>
      </w:r>
      <w:r w:rsidR="00485278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提供</w:t>
      </w:r>
      <w:r w:rsidR="00485278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的票据</w:t>
      </w:r>
      <w:r w:rsidRPr="001C0A7E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信息输入交款人、电子票据代码、电子票据号码、校验码以及系统提供的随机码，</w:t>
      </w:r>
      <w:r w:rsidRPr="001C0A7E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示例</w:t>
      </w:r>
      <w:r w:rsidRPr="001C0A7E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如下</w:t>
      </w:r>
      <w:r w:rsidRPr="001C0A7E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：</w:t>
      </w:r>
    </w:p>
    <w:p w:rsidR="00300EFC" w:rsidRDefault="00300EFC" w:rsidP="008007B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/>
          <w:b/>
          <w:bCs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Arial" w:hint="eastAsia"/>
          <w:b/>
          <w:bCs/>
          <w:noProof/>
          <w:color w:val="000000"/>
          <w:spacing w:val="8"/>
          <w:kern w:val="0"/>
          <w:sz w:val="24"/>
          <w:szCs w:val="24"/>
        </w:rPr>
        <w:lastRenderedPageBreak/>
        <w:drawing>
          <wp:inline distT="0" distB="0" distL="0" distR="0">
            <wp:extent cx="6120130" cy="4076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票据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7E" w:rsidRPr="00EE6B08" w:rsidRDefault="001C0A7E" w:rsidP="00EE6B08">
      <w:pPr>
        <w:widowControl/>
        <w:shd w:val="clear" w:color="auto" w:fill="FAFAFA"/>
        <w:spacing w:before="100" w:beforeAutospacing="1" w:after="100" w:afterAutospacing="1"/>
        <w:ind w:firstLineChars="200" w:firstLine="632"/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</w:pPr>
      <w:r w:rsidRPr="00EE6B08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点击</w:t>
      </w:r>
      <w:r w:rsidRPr="00EE6B08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“</w:t>
      </w:r>
      <w:r w:rsidRPr="00EE6B08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查验</w:t>
      </w:r>
      <w:r w:rsidRPr="00EE6B08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”</w:t>
      </w:r>
      <w:r w:rsidRPr="00EE6B08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按钮</w:t>
      </w:r>
      <w:r w:rsidRPr="00EE6B08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，查询结果如下</w:t>
      </w:r>
      <w:r w:rsidR="00FC4561" w:rsidRPr="00EE6B08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图，</w:t>
      </w:r>
      <w:r w:rsidR="00FC4561" w:rsidRPr="00EE6B08">
        <w:rPr>
          <w:rFonts w:ascii="仿宋" w:eastAsia="仿宋" w:hAnsi="仿宋" w:cs="Arial"/>
          <w:bCs/>
          <w:color w:val="000000"/>
          <w:spacing w:val="8"/>
          <w:kern w:val="0"/>
          <w:sz w:val="30"/>
          <w:szCs w:val="30"/>
        </w:rPr>
        <w:t>考生可下载或直接打印票据查询结果</w:t>
      </w:r>
      <w:r w:rsidR="00FC4561" w:rsidRPr="00EE6B08">
        <w:rPr>
          <w:rFonts w:ascii="仿宋" w:eastAsia="仿宋" w:hAnsi="仿宋" w:cs="Arial" w:hint="eastAsia"/>
          <w:bCs/>
          <w:color w:val="000000"/>
          <w:spacing w:val="8"/>
          <w:kern w:val="0"/>
          <w:sz w:val="30"/>
          <w:szCs w:val="30"/>
        </w:rPr>
        <w:t>。</w:t>
      </w:r>
    </w:p>
    <w:p w:rsidR="00FC4561" w:rsidRPr="00300EFC" w:rsidRDefault="005F337B" w:rsidP="008007BC">
      <w:pPr>
        <w:widowControl/>
        <w:shd w:val="clear" w:color="auto" w:fill="FAFAFA"/>
        <w:spacing w:before="100" w:beforeAutospacing="1" w:after="100" w:afterAutospacing="1"/>
        <w:rPr>
          <w:rFonts w:ascii="Microsoft YaHei UI" w:eastAsia="Microsoft YaHei UI" w:hAnsi="Microsoft YaHei UI" w:cs="Arial"/>
          <w:b/>
          <w:bCs/>
          <w:color w:val="000000"/>
          <w:spacing w:val="8"/>
          <w:kern w:val="0"/>
          <w:sz w:val="24"/>
          <w:szCs w:val="24"/>
        </w:rPr>
      </w:pPr>
      <w:r>
        <w:rPr>
          <w:rFonts w:ascii="Microsoft YaHei UI" w:eastAsia="Microsoft YaHei UI" w:hAnsi="Microsoft YaHei UI" w:cs="Arial" w:hint="eastAsia"/>
          <w:b/>
          <w:bCs/>
          <w:noProof/>
          <w:color w:val="000000"/>
          <w:spacing w:val="8"/>
          <w:kern w:val="0"/>
          <w:sz w:val="24"/>
          <w:szCs w:val="24"/>
        </w:rPr>
        <w:drawing>
          <wp:inline distT="0" distB="0" distL="0" distR="0">
            <wp:extent cx="6120130" cy="2360295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票据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7BC" w:rsidRPr="00EE6B08" w:rsidRDefault="008007BC" w:rsidP="00EE6B08">
      <w:pPr>
        <w:widowControl/>
        <w:shd w:val="clear" w:color="auto" w:fill="FAFAFA"/>
        <w:spacing w:before="100" w:beforeAutospacing="1" w:after="100" w:afterAutospacing="1"/>
        <w:ind w:firstLineChars="200" w:firstLine="632"/>
        <w:rPr>
          <w:rFonts w:ascii="黑体" w:eastAsia="黑体" w:hAnsi="黑体" w:cs="Arial"/>
          <w:color w:val="333333"/>
          <w:spacing w:val="8"/>
          <w:kern w:val="0"/>
          <w:sz w:val="30"/>
          <w:szCs w:val="30"/>
        </w:rPr>
      </w:pPr>
      <w:r w:rsidRPr="00EE6B08">
        <w:rPr>
          <w:rFonts w:ascii="黑体" w:eastAsia="黑体" w:hAnsi="黑体" w:cs="Arial" w:hint="eastAsia"/>
          <w:bCs/>
          <w:color w:val="000000"/>
          <w:spacing w:val="8"/>
          <w:kern w:val="0"/>
          <w:sz w:val="30"/>
          <w:szCs w:val="30"/>
        </w:rPr>
        <w:t>报销入账依据:</w:t>
      </w:r>
    </w:p>
    <w:p w:rsidR="00E27C8B" w:rsidRPr="008007BC" w:rsidRDefault="008007BC" w:rsidP="003104C8">
      <w:pPr>
        <w:widowControl/>
        <w:shd w:val="clear" w:color="auto" w:fill="FAFAFA"/>
        <w:spacing w:before="100" w:beforeAutospacing="1" w:after="100" w:afterAutospacing="1"/>
        <w:ind w:firstLineChars="200" w:firstLine="632"/>
      </w:pPr>
      <w:r w:rsidRPr="00EE6B08">
        <w:rPr>
          <w:rFonts w:ascii="仿宋" w:eastAsia="仿宋" w:hAnsi="仿宋" w:cs="Arial" w:hint="eastAsia"/>
          <w:color w:val="000000"/>
          <w:spacing w:val="8"/>
          <w:kern w:val="0"/>
          <w:sz w:val="30"/>
          <w:szCs w:val="30"/>
        </w:rPr>
        <w:t>根据</w:t>
      </w:r>
      <w:r w:rsidR="008E1E05" w:rsidRPr="008E1E05">
        <w:rPr>
          <w:rFonts w:ascii="仿宋" w:eastAsia="仿宋" w:hAnsi="仿宋" w:cs="Arial" w:hint="eastAsia"/>
          <w:color w:val="000000"/>
          <w:spacing w:val="8"/>
          <w:kern w:val="0"/>
          <w:sz w:val="30"/>
          <w:szCs w:val="30"/>
        </w:rPr>
        <w:t>《财政部 国家档案局 关于规范电子会计凭证报销入账归档的通知》</w:t>
      </w:r>
      <w:r w:rsidR="008E1E05">
        <w:rPr>
          <w:rFonts w:ascii="仿宋" w:eastAsia="仿宋" w:hAnsi="仿宋" w:cs="Arial" w:hint="eastAsia"/>
          <w:color w:val="000000"/>
          <w:spacing w:val="8"/>
          <w:kern w:val="0"/>
          <w:sz w:val="30"/>
          <w:szCs w:val="30"/>
        </w:rPr>
        <w:t>（</w:t>
      </w:r>
      <w:r w:rsidR="008E1E05" w:rsidRPr="008E1E05">
        <w:rPr>
          <w:rFonts w:ascii="仿宋" w:eastAsia="仿宋" w:hAnsi="仿宋" w:cs="Arial" w:hint="eastAsia"/>
          <w:color w:val="000000"/>
          <w:spacing w:val="8"/>
          <w:kern w:val="0"/>
          <w:sz w:val="30"/>
          <w:szCs w:val="30"/>
        </w:rPr>
        <w:t>财会〔2020〕6号</w:t>
      </w:r>
      <w:r w:rsidR="008E1E05">
        <w:rPr>
          <w:rFonts w:ascii="仿宋" w:eastAsia="仿宋" w:hAnsi="仿宋" w:cs="Arial" w:hint="eastAsia"/>
          <w:color w:val="000000"/>
          <w:spacing w:val="8"/>
          <w:kern w:val="0"/>
          <w:sz w:val="30"/>
          <w:szCs w:val="30"/>
        </w:rPr>
        <w:t>）及</w:t>
      </w:r>
      <w:r w:rsidRPr="00EE6B08">
        <w:rPr>
          <w:rFonts w:ascii="仿宋" w:eastAsia="仿宋" w:hAnsi="仿宋" w:cs="Arial" w:hint="eastAsia"/>
          <w:color w:val="000000"/>
          <w:spacing w:val="8"/>
          <w:kern w:val="0"/>
          <w:sz w:val="30"/>
          <w:szCs w:val="30"/>
        </w:rPr>
        <w:t>《北京市财政局关于规范我市财政电</w:t>
      </w:r>
      <w:r w:rsidRPr="00EE6B08">
        <w:rPr>
          <w:rFonts w:ascii="仿宋" w:eastAsia="仿宋" w:hAnsi="仿宋" w:cs="Arial" w:hint="eastAsia"/>
          <w:color w:val="000000"/>
          <w:spacing w:val="8"/>
          <w:kern w:val="0"/>
          <w:sz w:val="30"/>
          <w:szCs w:val="30"/>
        </w:rPr>
        <w:lastRenderedPageBreak/>
        <w:t>子票据入账有关事宜的通知》（京财综[2019] 97号）规定，财政电子票据可作为报销入账凭据。</w:t>
      </w:r>
    </w:p>
    <w:sectPr w:rsidR="00E27C8B" w:rsidRPr="008007BC" w:rsidSect="00555F6A">
      <w:pgSz w:w="11906" w:h="16838"/>
      <w:pgMar w:top="1021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E0" w:rsidRDefault="00917BE0" w:rsidP="00122564">
      <w:r>
        <w:separator/>
      </w:r>
    </w:p>
  </w:endnote>
  <w:endnote w:type="continuationSeparator" w:id="0">
    <w:p w:rsidR="00917BE0" w:rsidRDefault="00917BE0" w:rsidP="0012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E0" w:rsidRDefault="00917BE0" w:rsidP="00122564">
      <w:r>
        <w:separator/>
      </w:r>
    </w:p>
  </w:footnote>
  <w:footnote w:type="continuationSeparator" w:id="0">
    <w:p w:rsidR="00917BE0" w:rsidRDefault="00917BE0" w:rsidP="0012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52"/>
    <w:rsid w:val="00122564"/>
    <w:rsid w:val="001C0A7E"/>
    <w:rsid w:val="00300EFC"/>
    <w:rsid w:val="003104C8"/>
    <w:rsid w:val="003C1F52"/>
    <w:rsid w:val="0042714C"/>
    <w:rsid w:val="00485278"/>
    <w:rsid w:val="00555F6A"/>
    <w:rsid w:val="005652FF"/>
    <w:rsid w:val="005F337B"/>
    <w:rsid w:val="0062279C"/>
    <w:rsid w:val="00700393"/>
    <w:rsid w:val="008007BC"/>
    <w:rsid w:val="00891D10"/>
    <w:rsid w:val="008E1E05"/>
    <w:rsid w:val="00917BE0"/>
    <w:rsid w:val="00A648E9"/>
    <w:rsid w:val="00C37CEC"/>
    <w:rsid w:val="00E27C8B"/>
    <w:rsid w:val="00EE6B08"/>
    <w:rsid w:val="00F92FE7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3F43B-B34F-4593-9BA0-0E8776C9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EF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2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2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2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22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CDE7-E4B5-4EB3-AB4D-6D561154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张伟强</dc:creator>
  <cp:keywords/>
  <dc:description/>
  <cp:lastModifiedBy>王薇</cp:lastModifiedBy>
  <cp:revision>2</cp:revision>
  <cp:lastPrinted>2020-06-28T06:36:00Z</cp:lastPrinted>
  <dcterms:created xsi:type="dcterms:W3CDTF">2020-06-30T01:39:00Z</dcterms:created>
  <dcterms:modified xsi:type="dcterms:W3CDTF">2020-06-30T01:39:00Z</dcterms:modified>
</cp:coreProperties>
</file>