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4511" w14:textId="638E454E" w:rsidR="00CD6F89" w:rsidRPr="00C808FE" w:rsidRDefault="002233C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C808FE" w:rsidRPr="00C808FE">
        <w:rPr>
          <w:rFonts w:ascii="仿宋" w:eastAsia="仿宋" w:hAnsi="仿宋" w:hint="eastAsia"/>
          <w:b/>
          <w:sz w:val="32"/>
          <w:szCs w:val="32"/>
        </w:rPr>
        <w:t>2</w:t>
      </w:r>
    </w:p>
    <w:p w14:paraId="0FE84512" w14:textId="6E39FC20" w:rsidR="00360A9B" w:rsidRPr="00054564" w:rsidRDefault="00360A9B" w:rsidP="00360A9B">
      <w:pPr>
        <w:spacing w:line="360" w:lineRule="auto"/>
        <w:jc w:val="center"/>
        <w:rPr>
          <w:rFonts w:ascii="黑体" w:eastAsia="黑体" w:hAnsi="黑体" w:cs="新宋体"/>
          <w:b/>
          <w:bCs/>
          <w:sz w:val="44"/>
          <w:szCs w:val="44"/>
        </w:rPr>
      </w:pPr>
      <w:r w:rsidRPr="00054564">
        <w:rPr>
          <w:rFonts w:ascii="黑体" w:eastAsia="黑体" w:hAnsi="黑体" w:cs="新宋体" w:hint="eastAsia"/>
          <w:b/>
          <w:bCs/>
          <w:sz w:val="44"/>
          <w:szCs w:val="44"/>
        </w:rPr>
        <w:t>法治体检</w:t>
      </w:r>
      <w:r w:rsidR="00B22EF6" w:rsidRPr="00054564">
        <w:rPr>
          <w:rFonts w:ascii="黑体" w:eastAsia="黑体" w:hAnsi="黑体" w:cs="新宋体" w:hint="eastAsia"/>
          <w:b/>
          <w:bCs/>
          <w:sz w:val="44"/>
          <w:szCs w:val="44"/>
        </w:rPr>
        <w:t>清单</w:t>
      </w:r>
    </w:p>
    <w:p w14:paraId="0FE84513" w14:textId="77777777" w:rsidR="00360A9B" w:rsidRDefault="00360A9B" w:rsidP="00360A9B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p w14:paraId="0FE84514" w14:textId="0B26D68E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提示：请如实填写，以便准确了解情况、有效评估。</w:t>
      </w:r>
      <w:r w:rsidR="0012029C">
        <w:rPr>
          <w:rFonts w:ascii="仿宋" w:eastAsia="仿宋" w:hAnsi="仿宋" w:cs="新宋体" w:hint="eastAsia"/>
          <w:sz w:val="24"/>
          <w:szCs w:val="24"/>
        </w:rPr>
        <w:t>我</w:t>
      </w:r>
      <w:r w:rsidRPr="00054564">
        <w:rPr>
          <w:rFonts w:ascii="仿宋" w:eastAsia="仿宋" w:hAnsi="仿宋" w:cs="新宋体" w:hint="eastAsia"/>
          <w:sz w:val="24"/>
          <w:szCs w:val="24"/>
        </w:rPr>
        <w:t>们承诺所有信息将被保密。请在选项后的方框上打钩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（√）</w:t>
      </w:r>
      <w:r w:rsidR="00676794" w:rsidRPr="00054564">
        <w:rPr>
          <w:rFonts w:ascii="仿宋" w:eastAsia="仿宋" w:hAnsi="仿宋" w:cs="新宋体" w:hint="eastAsia"/>
          <w:sz w:val="24"/>
          <w:szCs w:val="24"/>
        </w:rPr>
        <w:t>，并对部分情况进行简要说明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。</w:t>
      </w:r>
    </w:p>
    <w:p w14:paraId="0FE84515" w14:textId="77777777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</w:p>
    <w:p w14:paraId="0FE84516" w14:textId="77777777" w:rsidR="00360A9B" w:rsidRPr="00054564" w:rsidRDefault="00360A9B" w:rsidP="00360A9B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基本情况</w:t>
      </w:r>
    </w:p>
    <w:p w14:paraId="0FE84517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1、</w:t>
      </w:r>
      <w:r w:rsidR="00BA3D06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性质：</w:t>
      </w:r>
    </w:p>
    <w:p w14:paraId="0FE84518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hint="eastAsia"/>
          <w:sz w:val="24"/>
        </w:rPr>
        <w:t>□合伙制       □特殊普通合伙    □有限责任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</w:t>
      </w:r>
    </w:p>
    <w:p w14:paraId="0FE84519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 xml:space="preserve">2、实际控制人：                </w:t>
      </w:r>
    </w:p>
    <w:p w14:paraId="0FE8451A" w14:textId="7A982DFF" w:rsidR="00360A9B" w:rsidRPr="00054564" w:rsidRDefault="00BA3D06" w:rsidP="00360A9B">
      <w:pPr>
        <w:spacing w:line="360" w:lineRule="auto"/>
        <w:rPr>
          <w:rFonts w:ascii="仿宋" w:eastAsia="仿宋" w:hAnsi="仿宋" w:cs="Arial"/>
          <w:color w:val="333333"/>
          <w:sz w:val="21"/>
          <w:szCs w:val="21"/>
          <w:shd w:val="clear" w:color="auto" w:fill="FFFFFF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3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主营业务：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审查企业会计报表，出具审计报告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验证企业资本，出具验资报告；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办理企业合并、分立、清算事宜中的审计业务，出具有关的报告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法律、行政法规规定的其他审计业务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405CDE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405CDE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405CDE" w:rsidRPr="00054564">
        <w:rPr>
          <w:rFonts w:ascii="仿宋" w:eastAsia="仿宋" w:hAnsi="仿宋" w:cs="新宋体" w:hint="eastAsia"/>
          <w:sz w:val="24"/>
          <w:szCs w:val="24"/>
        </w:rPr>
        <w:t>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会计咨询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会计服务业务</w:t>
      </w:r>
      <w:r w:rsidR="002A6C3A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2A6C3A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2A6C3A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D520CC" w:rsidRPr="00054564">
        <w:rPr>
          <w:rFonts w:ascii="仿宋" w:eastAsia="仿宋" w:hAnsi="仿宋" w:cs="新宋体" w:hint="eastAsia"/>
          <w:sz w:val="24"/>
          <w:szCs w:val="24"/>
        </w:rPr>
        <w:t>。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           </w:t>
      </w:r>
    </w:p>
    <w:p w14:paraId="0FE8451B" w14:textId="14C6BA8E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  <w:u w:val="single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4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、员工人数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：注册会计师</w:t>
      </w:r>
      <w:r w:rsidR="00A35803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A35803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人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；助理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人；行政人员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人。</w:t>
      </w:r>
    </w:p>
    <w:p w14:paraId="0FE8451C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5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、业务辐射范围：</w:t>
      </w:r>
    </w:p>
    <w:p w14:paraId="0FE8451D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□        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及周边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 xml:space="preserve">区□   </w:t>
      </w:r>
    </w:p>
    <w:p w14:paraId="0FE8451E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全国□        全国及境外□</w:t>
      </w:r>
    </w:p>
    <w:p w14:paraId="0FE8451F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6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、是否设立了分</w:t>
      </w:r>
      <w:r w:rsidRPr="00054564">
        <w:rPr>
          <w:rFonts w:ascii="仿宋" w:eastAsia="仿宋" w:hAnsi="仿宋" w:cs="新宋体" w:hint="eastAsia"/>
          <w:sz w:val="24"/>
          <w:szCs w:val="24"/>
        </w:rPr>
        <w:t>所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？</w:t>
      </w:r>
      <w:r w:rsidRPr="00054564">
        <w:rPr>
          <w:rFonts w:ascii="仿宋" w:eastAsia="仿宋" w:hAnsi="仿宋" w:cs="新宋体" w:hint="eastAsia"/>
          <w:sz w:val="24"/>
          <w:szCs w:val="24"/>
        </w:rPr>
        <w:t>多少家分所？</w:t>
      </w:r>
    </w:p>
    <w:p w14:paraId="0FE84520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是□          否□</w:t>
      </w:r>
    </w:p>
    <w:p w14:paraId="0FE84521" w14:textId="77777777" w:rsidR="00BA3D06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    </w:t>
      </w:r>
      <w:r w:rsidRPr="00054564">
        <w:rPr>
          <w:rFonts w:ascii="仿宋" w:eastAsia="仿宋" w:hAnsi="仿宋" w:cs="新宋体" w:hint="eastAsia"/>
          <w:sz w:val="24"/>
          <w:szCs w:val="24"/>
        </w:rPr>
        <w:t>家分所。</w:t>
      </w:r>
    </w:p>
    <w:p w14:paraId="0FE8452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523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二、</w:t>
      </w:r>
      <w:r w:rsidR="00BA3D06"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事务所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的设立与存续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2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4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是否办理《企业法人营业执照》</w:t>
            </w:r>
            <w:r w:rsidR="00BA3D06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、《营业执照》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BA3D06" w:rsidRPr="00054564" w14:paraId="0FE8452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8" w14:textId="77777777" w:rsidR="00BA3D06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9" w14:textId="77777777" w:rsidR="00BA3D06" w:rsidRPr="00054564" w:rsidRDefault="00BA3D06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会计师事务所执业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证书》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A" w14:textId="77777777" w:rsidR="00BA3D06" w:rsidRPr="00054564" w:rsidRDefault="00BA3D06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F73B5" w:rsidRPr="00054564" w14:paraId="0FE8452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C" w14:textId="77777777" w:rsidR="007F73B5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D" w14:textId="77777777" w:rsidR="007F73B5" w:rsidRPr="00054564" w:rsidRDefault="007F73B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《会计师事务所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证券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期货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相关业务许可证》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E" w14:textId="77777777" w:rsidR="007F73B5" w:rsidRPr="00054564" w:rsidRDefault="007F73B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0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（合伙人）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是否有出资不实或抽逃出资的情况？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4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5" w14:textId="77777777" w:rsidR="00360A9B" w:rsidRPr="00054564" w:rsidRDefault="007F73B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事务所负责人与实际控制人是否分离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8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9" w14:textId="0AA3B23C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召开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合伙人会议（或股东会）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流程是否按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《合伙协议》（或《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公司章程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》）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规定时间提前通知？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通知方式：书面、短信、邮件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C" w14:textId="16F659C2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D" w14:textId="4DED3876" w:rsidR="00360A9B" w:rsidRPr="00054564" w:rsidRDefault="00F63533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形式的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执行事务合伙人、管理合伙人、合伙事务监督委员的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选任是否符合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的规定？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有限公司形式的事务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所，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经理人、董事、监事的选任是否符合《公司章程》的规定？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0" w14:textId="7BD687A3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1" w14:textId="609FDF5C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有限责任会计师事务所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是否按照公司法及公司章程的规定定期召开股东会、董事会并做好记录？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合伙事务所是否按照《合伙协议》约定定期召开合伙人会议？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每年召开几次会议</w:t>
            </w:r>
            <w:r w:rsidR="00F36AA1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4" w14:textId="58E51650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5" w14:textId="0AEE983F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董事会、董事长或执行董事、监事会或监事是否按照公司章程设定的权限履行职责？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高管是如何分工的。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合伙事务所管委会、合伙人大会是否按《合伙协议》规定的权限履行职责？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8" w14:textId="02B2334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9" w14:textId="023FA990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有限责任会计师事务所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股东会、董事会、监事会有无有效的议事规则？</w:t>
            </w:r>
            <w:r w:rsidR="00967C66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是否按照有效的议事规则进行讨论？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C" w14:textId="10F4285B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D" w14:textId="5BA3DB3D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决策机制是否健全？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决策机制是怎样的，重大事项的决策最终是如何形成的，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如通过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投票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会议讨论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实际控制人确定？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0" w14:textId="7DFB7BB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1" w14:textId="12FF7879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经理、财务人员等的聘任是否符合公司法及</w:t>
            </w:r>
            <w:r w:rsidR="004D7628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合伙企业法的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4" w14:textId="0DD26F8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5" w14:textId="0523AF52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的土地、房产、及其他固定资产是否办理产权登记？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是在什么部门办理登记的，是否对外抵押？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8" w14:textId="1124ADC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9" w14:textId="1EF7F804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是否按时报送年度报告？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什么时间报送？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C" w14:textId="743917F5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D" w14:textId="128D80B1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是否向股东、出资人提供财报？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以什么方式提供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邮件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集中阅览？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0" w14:textId="77F3F9F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1" w14:textId="720DAAB2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是否为股东、出资人提供担保？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已经提供的，是否已经解除担保责任？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4" w14:textId="094BEF2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5" w14:textId="2FB005AC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资金是否存在被股东、出资人实际占用的情形？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存在股东或合伙人借款？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8" w14:textId="6C3474BD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9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是否有法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务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部门或者外聘的法律顾问？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C" w14:textId="546102C7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D" w14:textId="3EDC04CA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是否定期举行法律类培训？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培训的内容是什么？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70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对事务所</w:t>
      </w:r>
      <w:r w:rsidRPr="00054564">
        <w:rPr>
          <w:rFonts w:ascii="仿宋" w:eastAsia="仿宋" w:hAnsi="仿宋" w:cs="新宋体" w:hint="eastAsia"/>
          <w:sz w:val="24"/>
          <w:szCs w:val="24"/>
        </w:rPr>
        <w:t>提供规范治理结构服务，以法律顾问方式帮助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防控日常法律风险。</w:t>
      </w:r>
    </w:p>
    <w:p w14:paraId="0FE8457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72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三、</w:t>
      </w:r>
      <w:r w:rsidR="0083069F"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事务所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经营管理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7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4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是否超范围经营？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57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8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是否存在经营未获得特许审批的项目的情况？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57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C" w14:textId="6B18435E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对手或者自身是否存在不正当竞争？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不正当竞争的方式是什么？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0" w14:textId="4411669D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事务所是否制定了公开透明的收费标准？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是否执行该标准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3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4" w14:textId="3A7EBFFF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是否存在未签订业务委托书，先开始项目工作情况？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后期是如何处理的，是否补签？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5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7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8" w14:textId="47ED9B26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是否存在客户拖欠、拒付审计费、咨询费情况？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如何向客户主张权利？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9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B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C" w14:textId="534C4C2D" w:rsidR="001C1918" w:rsidRPr="00054564" w:rsidRDefault="004D69A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项目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风险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分级管理制度？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如何管理？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D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9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0" w14:textId="77777777" w:rsidR="001C1918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是否定期为员工进行法律培训？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3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是否存在员工私下收受客户礼品、吃请、红包等情形？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7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是否制定有反商业贿赂制度？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B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是否存在低价竞争情形？对于行业低价竞争的治理有何建议？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3" w14:textId="5743D8BD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是否对出具的报告登记汇总？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7" w14:textId="58149746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是否有分所？如何管理分所？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B" w14:textId="7162ED3B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是否有挂靠团队？如何保证其执业质量？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5AF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【法律建议】提供规范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经营管理服务，以法律顾问方式帮助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防控经营中的法律风险。</w:t>
      </w:r>
    </w:p>
    <w:p w14:paraId="0FE845B0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B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四、合同管理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B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所有交易活动是否均签订了书面合同？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7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是否建立合同审查制度和合同履行监督制度？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B" w14:textId="1DA8F4C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是否建立公章及合同专用章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、财务章的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F" w14:textId="3A330B55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签订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服务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是否经各部门汇签？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3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是否建立合同归档及专人分类管理制度？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7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是否通过律师对合同审查？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B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是否建立签订重大合同前的调查、评议制度？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F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是否建立合同争议处理制度？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D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【法律建议】提供合同全流程管理法律服务，建立健全合同法律管理制度，规范合同的谈判、审批、签订、履行、归档等所有环节。</w:t>
      </w:r>
    </w:p>
    <w:p w14:paraId="0FE845D3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D4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五、劳动人事管理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D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6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是否与员工依法签订劳动合同？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劳动合同内容是否符合法律规定？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E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是否建立健全劳动用工管理制度？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2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是否有专业人员对员工进行管理？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6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各项规章制度的内容和制定程序是否合法？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A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是否按时发放工资？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E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是否依法为员工交缴纳社会保险？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2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保密及竞业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禁止制度？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6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是否为劳动者提供必要的劳动保护条件？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A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各项制度是否向劳动者进行公示？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0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E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是否建立劳动争议应对制度？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2" w14:textId="7EE19EC4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是否存在退休返聘人员？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是签订劳动合同还是劳务合同？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5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6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是否存在挂靠注册会计师？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7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9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A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是否存在转所纠纷？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B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D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E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是否存在劳动纠纷？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F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2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是否存在社保纠纷？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15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lastRenderedPageBreak/>
        <w:t>【法律建议】提供劳动用工专项法律服务规范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劳动用工行为，为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建章立制，协助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预防和处理工资、工伤、辞退、社保费和补偿金等引起的劳动争议，做好劳动合同的解除、续签工作和劳动合同终止工作。</w:t>
      </w:r>
    </w:p>
    <w:p w14:paraId="0FE84616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17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六、知识产权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1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9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是否注册商标并及时续展？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1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注册商标的注册类别是否覆盖了主营产品？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是否有正在申请的专利？是否按时缴费？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3069F" w:rsidRPr="00054564" w14:paraId="0FE84627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4" w14:textId="77777777" w:rsidR="0083069F" w:rsidRPr="00054564" w:rsidRDefault="0083069F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5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是否建立有效的商业秘密保护制度？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6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9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是否存在针对人才流动中的知识产权流失的风险防范措施？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D" w14:textId="77777777" w:rsidR="00360A9B" w:rsidRPr="00054564" w:rsidRDefault="00BE257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 w:rsidRPr="00054564">
              <w:rPr>
                <w:rFonts w:ascii="仿宋" w:eastAsia="仿宋" w:hAnsi="仿宋" w:cs="新宋体" w:hint="eastAsia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</w:rPr>
              <w:t>是否正在面临侵权或有被侵权的危险？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3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1" w14:textId="77777777" w:rsidR="00360A9B" w:rsidRPr="00054564" w:rsidRDefault="00BE257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 w:rsidRPr="00054564">
              <w:rPr>
                <w:rFonts w:ascii="仿宋" w:eastAsia="仿宋" w:hAnsi="仿宋" w:cs="新宋体" w:hint="eastAsia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</w:rPr>
              <w:t>是否存在商业秘密流失的情况？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634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【法律建议】提供知识产权专项法律服务可根据调查情况为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提供商标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专利申请、维权等法律服务。</w:t>
      </w:r>
    </w:p>
    <w:p w14:paraId="0FE84635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36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七、财务及税务管理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3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8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是否有健全规范的财务制度并严格执行？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3E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C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固定资产是否办理产权登记？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2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F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主管会计和出纳会计是否由不同人员担任？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6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4" w14:textId="73FC34B2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建立了税务筹划？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是否按规定代扣代缴个人所得税？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D3DB1" w:rsidRPr="00054564" w14:paraId="55C9F25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2023" w14:textId="30F8DE12" w:rsidR="007D3DB1" w:rsidRPr="00054564" w:rsidRDefault="004554A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3DEEA" w14:textId="258D18B0" w:rsidR="007D3DB1" w:rsidRPr="00054564" w:rsidRDefault="004554A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是否建立网上银行制单、复核、管理分离制度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AF1E" w14:textId="77777777" w:rsidR="007D3DB1" w:rsidRPr="00054564" w:rsidRDefault="007D3DB1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4B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【法律建议】提供财务及税务专项法律服务，可根据调查情况为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提供相关法律服务。</w:t>
      </w:r>
    </w:p>
    <w:p w14:paraId="0FE8464C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4D" w14:textId="37E5183C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诉讼与仲裁</w:t>
      </w:r>
    </w:p>
    <w:tbl>
      <w:tblPr>
        <w:tblpPr w:leftFromText="180" w:rightFromText="180" w:vertAnchor="text" w:horzAnchor="page" w:tblpX="1917" w:tblpY="-31"/>
        <w:tblW w:w="8359" w:type="dxa"/>
        <w:tblLayout w:type="fixed"/>
        <w:tblLook w:val="0000" w:firstRow="0" w:lastRow="0" w:firstColumn="0" w:lastColumn="0" w:noHBand="0" w:noVBand="0"/>
      </w:tblPr>
      <w:tblGrid>
        <w:gridCol w:w="846"/>
        <w:gridCol w:w="6787"/>
        <w:gridCol w:w="726"/>
      </w:tblGrid>
      <w:tr w:rsidR="003778F2" w:rsidRPr="00054564" w14:paraId="2E42044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18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D6A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事务所是否有专人负责诉讼与冲裁事宜？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8AA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2852DE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DB4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07EC" w14:textId="4D8F7686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事务所是否有欲起诉或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申请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仲裁的案件？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D828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CDE2785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9AD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84C3" w14:textId="3F83BDC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事务所是否存在未结诉讼或仲裁案件？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E83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778F2" w:rsidRPr="00054564" w14:paraId="6ACC98A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7FF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A79" w14:textId="13EC9DE9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事务所是否对已了结的诉讼仲裁案件进行梳理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总结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5D92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B6BFD99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C9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C953" w14:textId="3C1456A2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事务所是否存在大额应收账款逾期未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收回的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情形？是否已超过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三年的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诉讼时效？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3F0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  <w:p w14:paraId="394AF37E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B1B6C6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260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44C4" w14:textId="734C486F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对已经发生法律效力的裁决仍然不服的案件。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具体情况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EF84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2ACAEFE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FE7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CBA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是否存在被证监会、财政部等主管部门行政立案、行政处罚情况？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C49A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1F2770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3D3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FD83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是否被行业协会给予自律惩戒？具体情形如何？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457D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3F23EC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86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BE02" w14:textId="693DD866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是否存在被员工投诉、举报情形？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向什么部门投诉？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321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3C76745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33A2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9182" w14:textId="5414C9B3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是否存在内部股东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在出资、股权、分红方面的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纠纷引发的诉讼？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294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91409C1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DDB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1BA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是否向行业协会申请过人民调解？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DDD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1C3A423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9D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A1C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是否向协会维权中心申请过维权？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FB6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7F" w14:textId="24C9EBA0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【法律建议】提供诉讼法律服务，代理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进行诉讼或仲裁，防范诉讼风险、帮助</w:t>
      </w:r>
      <w:r w:rsidR="00BE257E" w:rsidRPr="00054564">
        <w:rPr>
          <w:rFonts w:ascii="仿宋" w:eastAsia="仿宋" w:hAnsi="仿宋" w:cs="新宋体" w:hint="eastAsia"/>
          <w:sz w:val="24"/>
          <w:szCs w:val="24"/>
        </w:rPr>
        <w:t>事务所</w:t>
      </w:r>
      <w:r w:rsidRPr="00054564">
        <w:rPr>
          <w:rFonts w:ascii="仿宋" w:eastAsia="仿宋" w:hAnsi="仿宋" w:cs="新宋体" w:hint="eastAsia"/>
          <w:sz w:val="24"/>
          <w:szCs w:val="24"/>
        </w:rPr>
        <w:t>催收欠款、反映问题</w:t>
      </w:r>
    </w:p>
    <w:p w14:paraId="7161179D" w14:textId="77777777" w:rsidR="00272D04" w:rsidRPr="00054564" w:rsidRDefault="00272D04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3BCD7608" w14:textId="77777777" w:rsidR="003778F2" w:rsidRPr="00054564" w:rsidRDefault="003778F2" w:rsidP="003778F2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疫情下事务所风险及防控</w:t>
      </w:r>
    </w:p>
    <w:tbl>
      <w:tblPr>
        <w:tblStyle w:val="a6"/>
        <w:tblW w:w="8363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A35219" w:rsidRPr="00054564" w14:paraId="73461489" w14:textId="77777777" w:rsidTr="00D10B00">
        <w:tc>
          <w:tcPr>
            <w:tcW w:w="851" w:type="dxa"/>
          </w:tcPr>
          <w:p w14:paraId="1B2E3454" w14:textId="174E1497" w:rsidR="00A35219" w:rsidRPr="00054564" w:rsidRDefault="00B27321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69A2E84" w14:textId="4D9D73D9" w:rsidR="00A35219" w:rsidRPr="00054564" w:rsidRDefault="00511883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疫情下，是否制定了相应的复工复产制度？</w:t>
            </w:r>
          </w:p>
        </w:tc>
        <w:tc>
          <w:tcPr>
            <w:tcW w:w="850" w:type="dxa"/>
          </w:tcPr>
          <w:p w14:paraId="73F75A0A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748B1" w:rsidRPr="00054564" w14:paraId="683D5DCE" w14:textId="77777777" w:rsidTr="00D10B00">
        <w:tc>
          <w:tcPr>
            <w:tcW w:w="851" w:type="dxa"/>
          </w:tcPr>
          <w:p w14:paraId="5CF5ECC8" w14:textId="6B0A0717" w:rsidR="00A748B1" w:rsidRPr="00054564" w:rsidRDefault="00944C5E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1898E58" w14:textId="17EE2CFB" w:rsidR="00A748B1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新冠疫情防控常态化下，是否制定了系统性的疫情审计挑战应对方案疫情，指导审计团队完成相应工作？</w:t>
            </w:r>
          </w:p>
        </w:tc>
        <w:tc>
          <w:tcPr>
            <w:tcW w:w="850" w:type="dxa"/>
          </w:tcPr>
          <w:p w14:paraId="7526B010" w14:textId="77777777" w:rsidR="00A748B1" w:rsidRPr="00054564" w:rsidRDefault="00A748B1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C31B4" w:rsidRPr="00054564" w14:paraId="31E69BD9" w14:textId="77777777" w:rsidTr="00D10B00">
        <w:tc>
          <w:tcPr>
            <w:tcW w:w="851" w:type="dxa"/>
          </w:tcPr>
          <w:p w14:paraId="294DC99D" w14:textId="1876C148" w:rsidR="00AC31B4" w:rsidRPr="00054564" w:rsidRDefault="00511883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83C529F" w14:textId="766C089E" w:rsidR="00AC31B4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是否存在因疫情原因导致的劳动纠纷？</w:t>
            </w:r>
          </w:p>
        </w:tc>
        <w:tc>
          <w:tcPr>
            <w:tcW w:w="850" w:type="dxa"/>
          </w:tcPr>
          <w:p w14:paraId="2D3A5549" w14:textId="77777777" w:rsidR="00AC31B4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7F0D9105" w14:textId="77777777" w:rsidTr="00D10B00">
        <w:tc>
          <w:tcPr>
            <w:tcW w:w="851" w:type="dxa"/>
          </w:tcPr>
          <w:p w14:paraId="628EC2FB" w14:textId="06565A9B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9DAF0BA" w14:textId="463E1011" w:rsidR="00A35219" w:rsidRPr="00054564" w:rsidRDefault="00F42896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是否存在因疫情原因导致未及时签订劳动合同的情况？</w:t>
            </w:r>
          </w:p>
        </w:tc>
        <w:tc>
          <w:tcPr>
            <w:tcW w:w="850" w:type="dxa"/>
          </w:tcPr>
          <w:p w14:paraId="7F51C55E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1B672B4F" w14:textId="77777777" w:rsidTr="00D10B00">
        <w:tc>
          <w:tcPr>
            <w:tcW w:w="851" w:type="dxa"/>
          </w:tcPr>
          <w:p w14:paraId="46815FFB" w14:textId="2CCA1203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C4C0110" w14:textId="0B97268D" w:rsidR="00A35219" w:rsidRPr="00054564" w:rsidRDefault="00902ED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疫情下，是否制定了远程办公相关制度？</w:t>
            </w:r>
            <w:r w:rsidR="00AD284E" w:rsidRPr="00054564">
              <w:rPr>
                <w:rFonts w:ascii="仿宋" w:eastAsia="仿宋" w:hAnsi="仿宋" w:cs="新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AD1BDB2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591FE159" w14:textId="77777777" w:rsidTr="00D10B00">
        <w:tc>
          <w:tcPr>
            <w:tcW w:w="851" w:type="dxa"/>
          </w:tcPr>
          <w:p w14:paraId="5FF540C7" w14:textId="2DE6752A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5EC2EC48" w14:textId="40AEB611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是否存在因疫情居家或远程办公导致的薪酬纠纷？</w:t>
            </w:r>
          </w:p>
        </w:tc>
        <w:tc>
          <w:tcPr>
            <w:tcW w:w="850" w:type="dxa"/>
          </w:tcPr>
          <w:p w14:paraId="76EF65C3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0BD78815" w14:textId="77777777" w:rsidTr="00D10B00">
        <w:tc>
          <w:tcPr>
            <w:tcW w:w="851" w:type="dxa"/>
          </w:tcPr>
          <w:p w14:paraId="371508BF" w14:textId="456F643F" w:rsidR="00A35219" w:rsidRPr="00054564" w:rsidRDefault="009E0FA7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3CFD5311" w14:textId="6532B5DE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是否因疫情促进了业务智能化管理系统的建立或升级？</w:t>
            </w:r>
          </w:p>
        </w:tc>
        <w:tc>
          <w:tcPr>
            <w:tcW w:w="850" w:type="dxa"/>
          </w:tcPr>
          <w:p w14:paraId="5D68782F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5C60C9B7" w14:textId="77777777" w:rsidTr="00D10B00">
        <w:tc>
          <w:tcPr>
            <w:tcW w:w="851" w:type="dxa"/>
          </w:tcPr>
          <w:p w14:paraId="668C3B68" w14:textId="6ACB435F" w:rsidR="00A35219" w:rsidRPr="00054564" w:rsidRDefault="005C53BD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CD00450" w14:textId="0039B113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是否存在因疫情原因导致业务约定书无法履行的情况？</w:t>
            </w:r>
          </w:p>
        </w:tc>
        <w:tc>
          <w:tcPr>
            <w:tcW w:w="850" w:type="dxa"/>
          </w:tcPr>
          <w:p w14:paraId="43422A62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23618378" w14:textId="77777777" w:rsidTr="00D10B00">
        <w:tc>
          <w:tcPr>
            <w:tcW w:w="851" w:type="dxa"/>
          </w:tcPr>
          <w:p w14:paraId="082762B3" w14:textId="618E78A5" w:rsidR="00A35219" w:rsidRPr="00054564" w:rsidRDefault="005C53BD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6A02321C" w14:textId="6406352B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因疫情致使业务约定书全部或部分无法履行时，能否及时与客户协商调整？</w:t>
            </w:r>
          </w:p>
        </w:tc>
        <w:tc>
          <w:tcPr>
            <w:tcW w:w="850" w:type="dxa"/>
          </w:tcPr>
          <w:p w14:paraId="71494824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6B8828E1" w14:textId="77777777" w:rsidTr="00D10B00">
        <w:tc>
          <w:tcPr>
            <w:tcW w:w="851" w:type="dxa"/>
          </w:tcPr>
          <w:p w14:paraId="6EFD45C4" w14:textId="3CE24953" w:rsidR="00A35219" w:rsidRPr="00054564" w:rsidRDefault="00706460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14:paraId="056A72BB" w14:textId="733EFED4" w:rsidR="00A35219" w:rsidRPr="00054564" w:rsidRDefault="000847EA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部分疫情严重地区项目无法在原法定期限办理时，能否及时与有关监管部门协商调整？</w:t>
            </w:r>
          </w:p>
        </w:tc>
        <w:tc>
          <w:tcPr>
            <w:tcW w:w="850" w:type="dxa"/>
          </w:tcPr>
          <w:p w14:paraId="5FC03398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06460" w:rsidRPr="00054564" w14:paraId="4EDDB0F7" w14:textId="77777777" w:rsidTr="00D10B00">
        <w:tc>
          <w:tcPr>
            <w:tcW w:w="851" w:type="dxa"/>
          </w:tcPr>
          <w:p w14:paraId="62850E15" w14:textId="4D9C62B7" w:rsidR="00706460" w:rsidRPr="00054564" w:rsidRDefault="00706460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Pr="00054564">
              <w:rPr>
                <w:rFonts w:ascii="仿宋" w:eastAsia="仿宋" w:hAnsi="仿宋" w:cs="新宋体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57A14DF" w14:textId="464EB5C4" w:rsidR="00706460" w:rsidRPr="00054564" w:rsidRDefault="000847EA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因疫情导致的业务诉讼与仲裁能够有效的处理与解决？</w:t>
            </w:r>
          </w:p>
        </w:tc>
        <w:tc>
          <w:tcPr>
            <w:tcW w:w="850" w:type="dxa"/>
          </w:tcPr>
          <w:p w14:paraId="577F6F4D" w14:textId="77777777" w:rsidR="00706460" w:rsidRPr="00054564" w:rsidRDefault="00706460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80" w14:textId="040B36AF" w:rsidR="00360A9B" w:rsidRPr="00054564" w:rsidRDefault="00155D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</w:t>
      </w:r>
      <w:r w:rsidR="00FA261B" w:rsidRPr="00054564">
        <w:rPr>
          <w:rFonts w:ascii="仿宋" w:eastAsia="仿宋" w:hAnsi="仿宋" w:cs="新宋体" w:hint="eastAsia"/>
          <w:sz w:val="24"/>
          <w:szCs w:val="24"/>
        </w:rPr>
        <w:t>在疫情防控常态下，提供法律服务，协助事务所设计、完善相应工作制度等。</w:t>
      </w:r>
      <w:r w:rsidR="004D7494" w:rsidRPr="00054564">
        <w:rPr>
          <w:rFonts w:ascii="仿宋" w:eastAsia="仿宋" w:hAnsi="仿宋" w:cs="新宋体" w:hint="eastAsia"/>
          <w:sz w:val="24"/>
          <w:szCs w:val="24"/>
        </w:rPr>
        <w:t>协助进行调解，主要从不可抗力以及国家政策角度代理事务所进行疫情相关纠纷。</w:t>
      </w:r>
    </w:p>
    <w:p w14:paraId="059A6568" w14:textId="77777777" w:rsidR="00155D9B" w:rsidRPr="00054564" w:rsidRDefault="00155D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81" w14:textId="77777777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外部发展环境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6336"/>
        <w:gridCol w:w="1131"/>
      </w:tblGrid>
      <w:tr w:rsidR="00360A9B" w:rsidRPr="00054564" w14:paraId="0FE84685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3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对金融环境是否有意见或建议？具体为？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9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7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对税收环境是否有意见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D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B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对公平竞争环境是否有意见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91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F" w14:textId="77777777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事务所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对法治环境是否有意见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9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1A98D487" w14:textId="77777777" w:rsidR="00B51BB5" w:rsidRPr="00054564" w:rsidRDefault="00B51BB5" w:rsidP="00B51BB5">
      <w:p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</w:p>
    <w:p w14:paraId="0FE84692" w14:textId="06D453A0" w:rsidR="00360A9B" w:rsidRPr="00054564" w:rsidRDefault="002D462D" w:rsidP="004D7494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其他建议或意见</w:t>
      </w:r>
    </w:p>
    <w:p w14:paraId="0FE84693" w14:textId="77777777" w:rsidR="00360A9B" w:rsidRPr="00054564" w:rsidRDefault="00360A9B">
      <w:pPr>
        <w:rPr>
          <w:rFonts w:ascii="仿宋" w:eastAsia="仿宋" w:hAnsi="仿宋"/>
        </w:rPr>
      </w:pPr>
    </w:p>
    <w:p w14:paraId="0FE84695" w14:textId="77777777" w:rsidR="00360A9B" w:rsidRPr="00054564" w:rsidRDefault="00360A9B">
      <w:pPr>
        <w:rPr>
          <w:rFonts w:ascii="仿宋" w:eastAsia="仿宋" w:hAnsi="仿宋"/>
        </w:rPr>
      </w:pPr>
    </w:p>
    <w:p w14:paraId="0FE84696" w14:textId="77777777" w:rsidR="00360A9B" w:rsidRPr="00054564" w:rsidRDefault="00360A9B">
      <w:pPr>
        <w:rPr>
          <w:rFonts w:ascii="仿宋" w:eastAsia="仿宋" w:hAnsi="仿宋"/>
        </w:rPr>
      </w:pPr>
    </w:p>
    <w:sectPr w:rsidR="00360A9B" w:rsidRPr="000545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DEAB" w14:textId="77777777" w:rsidR="000C1667" w:rsidRDefault="000C1667" w:rsidP="007F73B5">
      <w:r>
        <w:separator/>
      </w:r>
    </w:p>
  </w:endnote>
  <w:endnote w:type="continuationSeparator" w:id="0">
    <w:p w14:paraId="55CB675D" w14:textId="77777777" w:rsidR="000C1667" w:rsidRDefault="000C1667" w:rsidP="007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76617"/>
      <w:docPartObj>
        <w:docPartGallery w:val="Page Numbers (Bottom of Page)"/>
        <w:docPartUnique/>
      </w:docPartObj>
    </w:sdtPr>
    <w:sdtEndPr/>
    <w:sdtContent>
      <w:p w14:paraId="0FE8469B" w14:textId="77777777" w:rsidR="0083069F" w:rsidRDefault="00830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88" w:rsidRPr="00AB2488">
          <w:rPr>
            <w:noProof/>
            <w:lang w:val="zh-CN"/>
          </w:rPr>
          <w:t>7</w:t>
        </w:r>
        <w:r>
          <w:fldChar w:fldCharType="end"/>
        </w:r>
      </w:p>
    </w:sdtContent>
  </w:sdt>
  <w:p w14:paraId="0FE8469C" w14:textId="77777777" w:rsidR="0083069F" w:rsidRDefault="00830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77F7" w14:textId="77777777" w:rsidR="000C1667" w:rsidRDefault="000C1667" w:rsidP="007F73B5">
      <w:r>
        <w:separator/>
      </w:r>
    </w:p>
  </w:footnote>
  <w:footnote w:type="continuationSeparator" w:id="0">
    <w:p w14:paraId="2A1BD87E" w14:textId="77777777" w:rsidR="000C1667" w:rsidRDefault="000C1667" w:rsidP="007F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68"/>
    <w:multiLevelType w:val="multilevel"/>
    <w:tmpl w:val="068603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00AA44"/>
    <w:multiLevelType w:val="singleLevel"/>
    <w:tmpl w:val="0F00AA4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B"/>
    <w:rsid w:val="00054564"/>
    <w:rsid w:val="000847EA"/>
    <w:rsid w:val="000C1667"/>
    <w:rsid w:val="0012029C"/>
    <w:rsid w:val="00155D9B"/>
    <w:rsid w:val="001C1918"/>
    <w:rsid w:val="001C788A"/>
    <w:rsid w:val="001D6C6B"/>
    <w:rsid w:val="002233C9"/>
    <w:rsid w:val="00272D04"/>
    <w:rsid w:val="002A6C3A"/>
    <w:rsid w:val="002D462D"/>
    <w:rsid w:val="002E29BF"/>
    <w:rsid w:val="002E3913"/>
    <w:rsid w:val="00326EDD"/>
    <w:rsid w:val="00331AF5"/>
    <w:rsid w:val="00360A9B"/>
    <w:rsid w:val="003778F2"/>
    <w:rsid w:val="00394B52"/>
    <w:rsid w:val="003E44E1"/>
    <w:rsid w:val="00405CDE"/>
    <w:rsid w:val="00422A69"/>
    <w:rsid w:val="004554A5"/>
    <w:rsid w:val="004D69AB"/>
    <w:rsid w:val="004D7494"/>
    <w:rsid w:val="004D7628"/>
    <w:rsid w:val="00511883"/>
    <w:rsid w:val="005513FD"/>
    <w:rsid w:val="005854D6"/>
    <w:rsid w:val="00592E40"/>
    <w:rsid w:val="005C53BD"/>
    <w:rsid w:val="005E536E"/>
    <w:rsid w:val="00603500"/>
    <w:rsid w:val="00621CD6"/>
    <w:rsid w:val="00657785"/>
    <w:rsid w:val="0066669F"/>
    <w:rsid w:val="00674E9C"/>
    <w:rsid w:val="00676794"/>
    <w:rsid w:val="00687C29"/>
    <w:rsid w:val="006A799C"/>
    <w:rsid w:val="006B5025"/>
    <w:rsid w:val="006D4A5B"/>
    <w:rsid w:val="00706460"/>
    <w:rsid w:val="007116E0"/>
    <w:rsid w:val="007219E6"/>
    <w:rsid w:val="0079155A"/>
    <w:rsid w:val="007C3D73"/>
    <w:rsid w:val="007D3DB1"/>
    <w:rsid w:val="007F73B5"/>
    <w:rsid w:val="00804D76"/>
    <w:rsid w:val="00817788"/>
    <w:rsid w:val="0083069F"/>
    <w:rsid w:val="008433EE"/>
    <w:rsid w:val="00880B8A"/>
    <w:rsid w:val="008916B7"/>
    <w:rsid w:val="008923B1"/>
    <w:rsid w:val="00902ED9"/>
    <w:rsid w:val="00944C5E"/>
    <w:rsid w:val="00967C66"/>
    <w:rsid w:val="009D41D2"/>
    <w:rsid w:val="009E0FA7"/>
    <w:rsid w:val="009E2BA4"/>
    <w:rsid w:val="009E7568"/>
    <w:rsid w:val="00A1133A"/>
    <w:rsid w:val="00A35219"/>
    <w:rsid w:val="00A35803"/>
    <w:rsid w:val="00A51A70"/>
    <w:rsid w:val="00A748B1"/>
    <w:rsid w:val="00A9430E"/>
    <w:rsid w:val="00AA4789"/>
    <w:rsid w:val="00AB2488"/>
    <w:rsid w:val="00AC31B4"/>
    <w:rsid w:val="00AD284E"/>
    <w:rsid w:val="00AF3728"/>
    <w:rsid w:val="00AF62C3"/>
    <w:rsid w:val="00B22EF6"/>
    <w:rsid w:val="00B27321"/>
    <w:rsid w:val="00B51BB5"/>
    <w:rsid w:val="00BA3D06"/>
    <w:rsid w:val="00BD78C1"/>
    <w:rsid w:val="00BE257E"/>
    <w:rsid w:val="00C046AD"/>
    <w:rsid w:val="00C059E2"/>
    <w:rsid w:val="00C600BD"/>
    <w:rsid w:val="00C61594"/>
    <w:rsid w:val="00C772AB"/>
    <w:rsid w:val="00C808FE"/>
    <w:rsid w:val="00C92B66"/>
    <w:rsid w:val="00CC1839"/>
    <w:rsid w:val="00CC62B2"/>
    <w:rsid w:val="00CD6F89"/>
    <w:rsid w:val="00D10B00"/>
    <w:rsid w:val="00D4560D"/>
    <w:rsid w:val="00D520CC"/>
    <w:rsid w:val="00D552BA"/>
    <w:rsid w:val="00D55FFC"/>
    <w:rsid w:val="00DA2A36"/>
    <w:rsid w:val="00DA6F21"/>
    <w:rsid w:val="00DB260D"/>
    <w:rsid w:val="00DB73CC"/>
    <w:rsid w:val="00E25FA7"/>
    <w:rsid w:val="00ED63BA"/>
    <w:rsid w:val="00EE359A"/>
    <w:rsid w:val="00F15143"/>
    <w:rsid w:val="00F36AA1"/>
    <w:rsid w:val="00F42896"/>
    <w:rsid w:val="00F63533"/>
    <w:rsid w:val="00F8347A"/>
    <w:rsid w:val="00FA261B"/>
    <w:rsid w:val="00FB0567"/>
    <w:rsid w:val="00FB07D0"/>
    <w:rsid w:val="00FB194F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9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A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B26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260D"/>
  </w:style>
  <w:style w:type="character" w:customStyle="1" w:styleId="Char1">
    <w:name w:val="批注文字 Char"/>
    <w:basedOn w:val="a0"/>
    <w:link w:val="a8"/>
    <w:uiPriority w:val="99"/>
    <w:semiHidden/>
    <w:rsid w:val="00DB260D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26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260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B26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260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9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A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B26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260D"/>
  </w:style>
  <w:style w:type="character" w:customStyle="1" w:styleId="Char1">
    <w:name w:val="批注文字 Char"/>
    <w:basedOn w:val="a0"/>
    <w:link w:val="a8"/>
    <w:uiPriority w:val="99"/>
    <w:semiHidden/>
    <w:rsid w:val="00DB260D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26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260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B26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260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戚庆余</dc:creator>
  <cp:keywords/>
  <dc:description/>
  <cp:lastModifiedBy>罗宏</cp:lastModifiedBy>
  <cp:revision>55</cp:revision>
  <dcterms:created xsi:type="dcterms:W3CDTF">2020-09-14T05:16:00Z</dcterms:created>
  <dcterms:modified xsi:type="dcterms:W3CDTF">2020-09-23T05:13:00Z</dcterms:modified>
</cp:coreProperties>
</file>