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仿宋" w:hAnsi="仿宋" w:eastAsia="仿宋" w:cs="仿宋_GB2312"/>
          <w:sz w:val="32"/>
          <w:szCs w:val="32"/>
        </w:rPr>
      </w:pPr>
      <w:r>
        <w:rPr>
          <w:rFonts w:hint="eastAsia" w:ascii="仿宋" w:hAnsi="仿宋" w:eastAsia="仿宋" w:cs="仿宋_GB2312"/>
          <w:sz w:val="32"/>
          <w:szCs w:val="32"/>
        </w:rPr>
        <w:t>附件2：</w:t>
      </w:r>
    </w:p>
    <w:p>
      <w:pPr>
        <w:adjustRightInd w:val="0"/>
        <w:spacing w:line="540" w:lineRule="exact"/>
        <w:rPr>
          <w:rFonts w:ascii="仿宋" w:hAnsi="仿宋" w:eastAsia="仿宋" w:cs="华文仿宋"/>
          <w:sz w:val="32"/>
          <w:szCs w:val="32"/>
        </w:rPr>
      </w:pPr>
    </w:p>
    <w:p>
      <w:pPr>
        <w:adjustRightInd w:val="0"/>
        <w:spacing w:line="540" w:lineRule="exact"/>
        <w:jc w:val="center"/>
        <w:rPr>
          <w:rFonts w:ascii="仿宋" w:hAnsi="仿宋" w:eastAsia="仿宋" w:cs="华文仿宋"/>
          <w:b/>
          <w:bCs/>
          <w:sz w:val="44"/>
          <w:szCs w:val="44"/>
        </w:rPr>
      </w:pPr>
      <w:bookmarkStart w:id="0" w:name="_GoBack"/>
      <w:r>
        <w:rPr>
          <w:rFonts w:hint="eastAsia" w:ascii="仿宋" w:hAnsi="仿宋" w:eastAsia="仿宋" w:cs="宋体"/>
          <w:b/>
          <w:bCs/>
          <w:sz w:val="44"/>
          <w:szCs w:val="44"/>
        </w:rPr>
        <w:t>高级财会人员专业会计学硕士学位项目（EMPAcc）详细介绍</w:t>
      </w:r>
      <w:bookmarkEnd w:id="0"/>
    </w:p>
    <w:p>
      <w:pPr>
        <w:adjustRightInd w:val="0"/>
        <w:spacing w:line="540" w:lineRule="exact"/>
        <w:jc w:val="center"/>
        <w:rPr>
          <w:rFonts w:ascii="仿宋" w:hAnsi="仿宋" w:eastAsia="仿宋" w:cs="华文仿宋"/>
          <w:sz w:val="32"/>
          <w:szCs w:val="32"/>
        </w:rPr>
      </w:pPr>
      <w:r>
        <w:rPr>
          <w:rFonts w:hint="eastAsia" w:ascii="仿宋" w:hAnsi="仿宋" w:eastAsia="仿宋" w:cs="仿宋_GB2312"/>
          <w:sz w:val="32"/>
          <w:szCs w:val="32"/>
        </w:rPr>
        <w:t>（教育部批准书编号：MOE31HK1A20131448N）</w:t>
      </w:r>
    </w:p>
    <w:p>
      <w:pPr>
        <w:adjustRightInd w:val="0"/>
        <w:spacing w:line="540" w:lineRule="exact"/>
        <w:rPr>
          <w:rFonts w:ascii="仿宋" w:hAnsi="仿宋" w:eastAsia="仿宋" w:cs="华文仿宋"/>
          <w:sz w:val="32"/>
          <w:szCs w:val="32"/>
        </w:rPr>
      </w:pP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一、培养目标</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本项目致力于促进中国内地和香港之间的财务知识交流，推动 两地教育事业和经济的发展，并促进两校间的学术交流，助力公司 高级会计与财务人员积极应对新形势下所面临的机遇和挑战，培养具有国际一流水准的财务总监（又称首席财务官）。</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二、培养要求</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项目培养学员掌握财务会计基本理论、管理控制、公司金融公司治理、企业战略等高阶理论和从事国际财务业务的技能，具体应熟悉以下内容：</w:t>
      </w:r>
    </w:p>
    <w:p>
      <w:pPr>
        <w:pStyle w:val="6"/>
        <w:widowControl/>
        <w:spacing w:line="276" w:lineRule="auto"/>
        <w:ind w:left="560" w:firstLine="64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更好地理解财务与会计在现代企业中的作用；</w:t>
      </w:r>
    </w:p>
    <w:p>
      <w:pPr>
        <w:pStyle w:val="6"/>
        <w:widowControl/>
        <w:spacing w:line="276" w:lineRule="auto"/>
        <w:ind w:left="560"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能够将财务与会计因素与公司战略很好地结合；</w:t>
      </w:r>
    </w:p>
    <w:p>
      <w:pPr>
        <w:pStyle w:val="6"/>
        <w:widowControl/>
        <w:spacing w:line="276" w:lineRule="auto"/>
        <w:ind w:left="560"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对最新的财务与会计理论有深入的了解；</w:t>
      </w:r>
    </w:p>
    <w:p>
      <w:pPr>
        <w:pStyle w:val="6"/>
        <w:widowControl/>
        <w:spacing w:line="276" w:lineRule="auto"/>
        <w:ind w:left="560" w:firstLine="64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精通财务与会计的分析和操作技能；</w:t>
      </w:r>
    </w:p>
    <w:p>
      <w:pPr>
        <w:pStyle w:val="6"/>
        <w:widowControl/>
        <w:spacing w:line="276" w:lineRule="auto"/>
        <w:ind w:left="560" w:firstLine="64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了解全球最新的财务与会计实践；</w:t>
      </w:r>
    </w:p>
    <w:p>
      <w:pPr>
        <w:pStyle w:val="6"/>
        <w:widowControl/>
        <w:spacing w:line="276" w:lineRule="auto"/>
        <w:ind w:left="560" w:firstLine="64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能够将所学的最新财务与会计理论应用于中国的实践；</w:t>
      </w:r>
    </w:p>
    <w:p>
      <w:pPr>
        <w:pStyle w:val="6"/>
        <w:widowControl/>
        <w:spacing w:line="276" w:lineRule="auto"/>
        <w:ind w:firstLine="64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把握会计行业新模式、新技术，更好地适应会计信息化的需求。</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项目学员应具备如下素质能力：</w:t>
      </w:r>
    </w:p>
    <w:p>
      <w:pPr>
        <w:pStyle w:val="6"/>
        <w:spacing w:line="276" w:lineRule="auto"/>
        <w:ind w:left="694" w:firstLine="64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财务分析和公司运营情况分析的基本能力；</w:t>
      </w:r>
    </w:p>
    <w:p>
      <w:pPr>
        <w:pStyle w:val="6"/>
        <w:spacing w:line="276" w:lineRule="auto"/>
        <w:ind w:left="694"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战略财务管理的能力；</w:t>
      </w:r>
    </w:p>
    <w:p>
      <w:pPr>
        <w:pStyle w:val="6"/>
        <w:widowControl/>
        <w:spacing w:line="276" w:lineRule="auto"/>
        <w:ind w:left="694"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国际企业并购、财务整合的基本能力；</w:t>
      </w:r>
    </w:p>
    <w:p>
      <w:pPr>
        <w:pStyle w:val="6"/>
        <w:widowControl/>
        <w:spacing w:line="276" w:lineRule="auto"/>
        <w:ind w:left="694" w:firstLine="64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信息系统、数据分析能力；</w:t>
      </w:r>
    </w:p>
    <w:p>
      <w:pPr>
        <w:pStyle w:val="6"/>
        <w:widowControl/>
        <w:spacing w:line="276" w:lineRule="auto"/>
        <w:ind w:left="694" w:firstLine="64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商业敏锐度与运营管理能力；</w:t>
      </w:r>
    </w:p>
    <w:p>
      <w:pPr>
        <w:pStyle w:val="6"/>
        <w:widowControl/>
        <w:spacing w:line="276" w:lineRule="auto"/>
        <w:ind w:left="694" w:firstLine="640"/>
        <w:rPr>
          <w:rFonts w:ascii="仿宋" w:hAnsi="仿宋" w:eastAsia="仿宋" w:cs="仿宋_GB2312"/>
          <w:b/>
          <w:bCs/>
          <w:sz w:val="32"/>
          <w:szCs w:val="32"/>
        </w:rPr>
      </w:pPr>
      <w:r>
        <w:rPr>
          <w:rFonts w:ascii="仿宋" w:hAnsi="仿宋" w:eastAsia="仿宋" w:cs="仿宋_GB2312"/>
          <w:sz w:val="32"/>
          <w:szCs w:val="32"/>
        </w:rPr>
        <w:t>6.</w:t>
      </w:r>
      <w:r>
        <w:rPr>
          <w:rFonts w:hint="eastAsia" w:ascii="仿宋" w:hAnsi="仿宋" w:eastAsia="仿宋" w:cs="仿宋_GB2312"/>
          <w:sz w:val="32"/>
          <w:szCs w:val="32"/>
        </w:rPr>
        <w:t>较强的人际沟通能力、协作、团队合作和管理能力。</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三、学制</w:t>
      </w:r>
    </w:p>
    <w:p>
      <w:pPr>
        <w:pStyle w:val="2"/>
        <w:spacing w:line="404" w:lineRule="auto"/>
        <w:ind w:left="119" w:firstLine="561"/>
        <w:jc w:val="both"/>
        <w:rPr>
          <w:rFonts w:cs="仿宋_GB2312"/>
          <w:sz w:val="32"/>
          <w:szCs w:val="32"/>
          <w:lang w:eastAsia="zh-CN"/>
        </w:rPr>
      </w:pPr>
      <w:r>
        <w:rPr>
          <w:rFonts w:hint="eastAsia" w:cs="仿宋_GB2312"/>
          <w:spacing w:val="-9"/>
          <w:sz w:val="32"/>
          <w:szCs w:val="32"/>
          <w:lang w:eastAsia="zh-CN"/>
        </w:rPr>
        <w:t>本项目学制两年，通常平均每月上课</w:t>
      </w:r>
      <w:r>
        <w:rPr>
          <w:rFonts w:hint="eastAsia" w:cs="仿宋_GB2312"/>
          <w:sz w:val="32"/>
          <w:szCs w:val="32"/>
          <w:lang w:eastAsia="zh-CN"/>
        </w:rPr>
        <w:t>1</w:t>
      </w:r>
      <w:r>
        <w:rPr>
          <w:rFonts w:hint="eastAsia" w:cs="仿宋_GB2312"/>
          <w:spacing w:val="-12"/>
          <w:sz w:val="32"/>
          <w:szCs w:val="32"/>
          <w:lang w:eastAsia="zh-CN"/>
        </w:rPr>
        <w:t>次，一次四天</w:t>
      </w:r>
      <w:r>
        <w:rPr>
          <w:rFonts w:hint="eastAsia" w:cs="仿宋_GB2312"/>
          <w:sz w:val="32"/>
          <w:szCs w:val="32"/>
          <w:lang w:eastAsia="zh-CN"/>
        </w:rPr>
        <w:t>（周五至次</w:t>
      </w:r>
      <w:r>
        <w:rPr>
          <w:rFonts w:hint="eastAsia" w:cs="仿宋_GB2312"/>
          <w:w w:val="95"/>
          <w:sz w:val="32"/>
          <w:szCs w:val="32"/>
          <w:lang w:eastAsia="zh-CN"/>
        </w:rPr>
        <w:t>周一）。</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四、培养方式</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项目强调应用型和国际化结合，以符合会计专业特点，培养熟悉国际财务会计实务的应用型人才。</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项目采用境内外教师相结合的方式，上海国家会计学院教师重点讲授国内财务最新发展的情况和趋势，香港中文大学教师重点传授国际会计和财务的知识。</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教学方式多样化。课堂教学以理论传授、课堂讨论等方式进行。持续改革教学方式，推行多媒体和“电子情景模式”教学方式，部分课程引入模拟训练内容，现场教学和模拟教学方式，提高学员学习兴趣，提升教学效果。课外实践包括公司考察、交流、参观等活动。</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课程理论与实务相结合，强化培养学员综合运用知识的能力。教学过程中理论教学与实践教学兼顾，在理论教学的基础上，通过实践教学环节培养学员运用专业知识与技能解决现实经济问题和完成 实际工作任务的能力。</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五、师资配备</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课程由香港中文大学资深教授、境内外商学院知名教授、中国政府部门和实务界精英共同授课。其中，项目核心专业课绝大多数的师资为香港中文大学资深教授，他们都在北美获得博士学位，并且拥有多年的国际企业管理咨询经验和国际著名商学院的教学与培训经验。与此同时，他们大多从事过中国的管理教学和中国管理问题的课题研究、案例开发及项目咨询；在选修课的师资设置上，项目邀请境内商学院的知名教授以及实务界具有影响力的精英担任，他们具有丰富的授课经验并深谙中国经济的动态走向。</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六、课程设置</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在课程设置上，本项目强调理论与实务并重，重点培养学员将国际最新的经济、财务和会计理念运用到企业管理实践中的能力。课程分为财务会计、管理会计与控制系统、金融与财务、企业战略、公司治理五大模块，立足于财会，拓展延伸至金融与公司管理等。学员在读期间项目还安排增值模块、访学模块，其中访学模块涵盖香港住读周以及欧美学习考察。</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七、学位授予与学位认证</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研究生须修满规定的 36 学分，平均分(GPA)不低于 2.5 且课程成绩须在“D+”以上方可申请学位。经香港中文大学研究生院审核， 达到毕业要求者，授予香港中文大学专业会计学硕士学位。</w:t>
      </w:r>
    </w:p>
    <w:p>
      <w:pPr>
        <w:spacing w:line="276" w:lineRule="auto"/>
        <w:ind w:firstLine="640" w:firstLineChars="200"/>
        <w:rPr>
          <w:rFonts w:ascii="仿宋" w:hAnsi="仿宋" w:eastAsia="仿宋" w:cs="Arial"/>
          <w:sz w:val="32"/>
          <w:szCs w:val="32"/>
        </w:rPr>
      </w:pPr>
      <w:r>
        <w:rPr>
          <w:rFonts w:hint="eastAsia" w:ascii="仿宋" w:hAnsi="仿宋" w:eastAsia="仿宋" w:cs="仿宋_GB2312"/>
          <w:sz w:val="32"/>
          <w:szCs w:val="32"/>
        </w:rPr>
        <w:t>研究生在获得学位之后，可至教育部国（境）外学历学位认证系统在线办理学历学位认证。获得该认证书，即表明证书持有人具有  相应的学历。</w:t>
      </w:r>
    </w:p>
    <w:p>
      <w:pPr>
        <w:spacing w:line="276" w:lineRule="auto"/>
        <w:ind w:firstLine="640" w:firstLineChars="200"/>
        <w:rPr>
          <w:rFonts w:ascii="黑体" w:hAnsi="黑体" w:eastAsia="黑体" w:cs="黑体"/>
          <w:sz w:val="32"/>
          <w:szCs w:val="32"/>
        </w:rPr>
      </w:pPr>
      <w:r>
        <w:rPr>
          <w:rFonts w:hint="eastAsia" w:ascii="黑体" w:hAnsi="黑体" w:eastAsia="黑体" w:cs="黑体"/>
          <w:sz w:val="32"/>
          <w:szCs w:val="32"/>
        </w:rPr>
        <w:t>八、学费</w:t>
      </w:r>
    </w:p>
    <w:p>
      <w:pPr>
        <w:spacing w:line="276"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2025年项目招收第26期，两年学费共计39.8万元人民币，可以分两年支付。项目也提供各大银行的贷款资源，供有需要的学员使用。</w:t>
      </w:r>
    </w:p>
    <w:p>
      <w:pPr>
        <w:autoSpaceDE w:val="0"/>
        <w:autoSpaceDN w:val="0"/>
        <w:ind w:firstLine="640" w:firstLineChars="200"/>
        <w:rPr>
          <w:rFonts w:ascii="黑体" w:hAnsi="黑体" w:eastAsia="黑体" w:cs="黑体"/>
          <w:sz w:val="32"/>
          <w:szCs w:val="32"/>
        </w:rPr>
      </w:pPr>
      <w:r>
        <w:rPr>
          <w:rFonts w:hint="eastAsia" w:ascii="黑体" w:hAnsi="黑体" w:eastAsia="黑体" w:cs="黑体"/>
          <w:sz w:val="32"/>
          <w:szCs w:val="32"/>
        </w:rPr>
        <w:t>九、咨询方式</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咨询电话：刘老师18121168252；董老师18121168048；刘老师18121168158 </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网址：</w:t>
      </w:r>
      <w:r>
        <w:fldChar w:fldCharType="begin"/>
      </w:r>
      <w:r>
        <w:instrText xml:space="preserve"> HYPERLINK "http://empacc.snai.edu" </w:instrText>
      </w:r>
      <w:r>
        <w:fldChar w:fldCharType="separate"/>
      </w:r>
      <w:r>
        <w:rPr>
          <w:rStyle w:val="5"/>
          <w:rFonts w:ascii="仿宋" w:hAnsi="仿宋" w:eastAsia="仿宋" w:cs="仿宋_GB2312"/>
          <w:sz w:val="32"/>
          <w:szCs w:val="32"/>
        </w:rPr>
        <w:t>http://e</w:t>
      </w:r>
      <w:r>
        <w:rPr>
          <w:rStyle w:val="5"/>
          <w:rFonts w:hint="eastAsia" w:ascii="仿宋" w:hAnsi="仿宋" w:eastAsia="仿宋" w:cs="仿宋_GB2312"/>
          <w:sz w:val="32"/>
          <w:szCs w:val="32"/>
        </w:rPr>
        <w:t>mpacc</w:t>
      </w:r>
      <w:r>
        <w:rPr>
          <w:rStyle w:val="5"/>
          <w:rFonts w:ascii="仿宋" w:hAnsi="仿宋" w:eastAsia="仿宋" w:cs="仿宋_GB2312"/>
          <w:sz w:val="32"/>
          <w:szCs w:val="32"/>
        </w:rPr>
        <w:t>.snai.edu</w:t>
      </w:r>
      <w:r>
        <w:rPr>
          <w:rStyle w:val="5"/>
          <w:rFonts w:ascii="仿宋" w:hAnsi="仿宋" w:eastAsia="仿宋" w:cs="仿宋_GB2312"/>
          <w:sz w:val="32"/>
          <w:szCs w:val="32"/>
        </w:rPr>
        <w:fldChar w:fldCharType="end"/>
      </w:r>
      <w:r>
        <w:rPr>
          <w:rFonts w:ascii="仿宋" w:hAnsi="仿宋" w:eastAsia="仿宋" w:cs="仿宋_GB2312"/>
          <w:sz w:val="32"/>
          <w:szCs w:val="32"/>
        </w:rPr>
        <w:t xml:space="preserve"> </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电子邮箱：</w:t>
      </w:r>
      <w:r>
        <w:fldChar w:fldCharType="begin"/>
      </w:r>
      <w:r>
        <w:instrText xml:space="preserve"> HYPERLINK "mailto:empacc@snai.edu" </w:instrText>
      </w:r>
      <w:r>
        <w:fldChar w:fldCharType="separate"/>
      </w:r>
      <w:r>
        <w:rPr>
          <w:rStyle w:val="5"/>
          <w:rFonts w:ascii="仿宋" w:hAnsi="仿宋" w:eastAsia="仿宋" w:cs="仿宋_GB2312"/>
          <w:sz w:val="32"/>
          <w:szCs w:val="32"/>
        </w:rPr>
        <w:t>em</w:t>
      </w:r>
      <w:r>
        <w:rPr>
          <w:rStyle w:val="5"/>
          <w:rFonts w:hint="eastAsia" w:ascii="仿宋" w:hAnsi="仿宋" w:eastAsia="仿宋" w:cs="仿宋_GB2312"/>
          <w:sz w:val="32"/>
          <w:szCs w:val="32"/>
        </w:rPr>
        <w:t>pacc</w:t>
      </w:r>
      <w:r>
        <w:rPr>
          <w:rStyle w:val="5"/>
          <w:rFonts w:ascii="仿宋" w:hAnsi="仿宋" w:eastAsia="仿宋" w:cs="仿宋_GB2312"/>
          <w:sz w:val="32"/>
          <w:szCs w:val="32"/>
        </w:rPr>
        <w:t>@snai.edu</w:t>
      </w:r>
      <w:r>
        <w:rPr>
          <w:rStyle w:val="5"/>
          <w:rFonts w:ascii="仿宋" w:hAnsi="仿宋" w:eastAsia="仿宋" w:cs="仿宋_GB2312"/>
          <w:sz w:val="32"/>
          <w:szCs w:val="32"/>
        </w:rPr>
        <w:fldChar w:fldCharType="end"/>
      </w:r>
    </w:p>
    <w:p>
      <w:pPr>
        <w:autoSpaceDE w:val="0"/>
        <w:autoSpaceDN w:val="0"/>
        <w:ind w:firstLine="560" w:firstLineChars="200"/>
        <w:rPr>
          <w:rFonts w:ascii="仿宋" w:hAnsi="仿宋" w:eastAsia="仿宋" w:cs="仿宋_GB2312"/>
          <w:sz w:val="32"/>
          <w:szCs w:val="32"/>
        </w:rPr>
      </w:pPr>
      <w:r>
        <w:rPr>
          <w:rFonts w:ascii="仿宋" w:hAnsi="仿宋" w:eastAsia="仿宋" w:cs="Arial"/>
          <w:color w:val="5A5A5A"/>
          <w:sz w:val="28"/>
          <w:szCs w:val="28"/>
        </w:rPr>
        <w:drawing>
          <wp:anchor distT="0" distB="0" distL="114300" distR="114300" simplePos="0" relativeHeight="251659264" behindDoc="0" locked="0" layoutInCell="1" allowOverlap="1">
            <wp:simplePos x="0" y="0"/>
            <wp:positionH relativeFrom="column">
              <wp:posOffset>2214880</wp:posOffset>
            </wp:positionH>
            <wp:positionV relativeFrom="paragraph">
              <wp:posOffset>390525</wp:posOffset>
            </wp:positionV>
            <wp:extent cx="858520" cy="858520"/>
            <wp:effectExtent l="0" t="0" r="17780" b="17780"/>
            <wp:wrapNone/>
            <wp:docPr id="2"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R 代码&#10;&#10;描述已自动生成"/>
                    <pic:cNvPicPr>
                      <a:picLocks noChangeAspect="1"/>
                    </pic:cNvPicPr>
                  </pic:nvPicPr>
                  <pic:blipFill>
                    <a:blip r:embed="rId4"/>
                    <a:stretch>
                      <a:fillRect/>
                    </a:stretch>
                  </pic:blipFill>
                  <pic:spPr>
                    <a:xfrm>
                      <a:off x="0" y="0"/>
                      <a:ext cx="858520" cy="858520"/>
                    </a:xfrm>
                    <a:prstGeom prst="rect">
                      <a:avLst/>
                    </a:prstGeom>
                    <a:noFill/>
                    <a:ln>
                      <a:noFill/>
                    </a:ln>
                  </pic:spPr>
                </pic:pic>
              </a:graphicData>
            </a:graphic>
          </wp:anchor>
        </w:drawing>
      </w:r>
      <w:r>
        <w:rPr>
          <w:rFonts w:hint="eastAsia" w:ascii="仿宋" w:hAnsi="仿宋" w:eastAsia="仿宋" w:cs="仿宋_GB2312"/>
          <w:sz w:val="32"/>
          <w:szCs w:val="32"/>
        </w:rPr>
        <w:t>地址：上海市青浦区蟠龙路200号上海国家会计学院</w:t>
      </w:r>
    </w:p>
    <w:p>
      <w:pPr>
        <w:autoSpaceDE w:val="0"/>
        <w:autoSpaceDN w:val="0"/>
        <w:ind w:firstLine="640" w:firstLineChars="200"/>
        <w:rPr>
          <w:rFonts w:ascii="仿宋" w:hAnsi="仿宋" w:eastAsia="仿宋" w:cs="仿宋_GB2312"/>
          <w:sz w:val="32"/>
          <w:szCs w:val="32"/>
        </w:rPr>
      </w:pPr>
      <w:r>
        <w:rPr>
          <w:rFonts w:hint="eastAsia" w:ascii="仿宋" w:hAnsi="仿宋" w:eastAsia="仿宋" w:cs="仿宋_GB2312"/>
          <w:sz w:val="32"/>
          <w:szCs w:val="32"/>
        </w:rPr>
        <w:t>项目官方微信</w:t>
      </w:r>
    </w:p>
    <w:p>
      <w:pPr>
        <w:spacing w:line="276" w:lineRule="auto"/>
        <w:ind w:firstLine="640" w:firstLineChars="200"/>
      </w:pPr>
      <w:r>
        <w:rPr>
          <w:rFonts w:hint="eastAsia" w:ascii="仿宋" w:hAnsi="仿宋" w:eastAsia="仿宋" w:cs="Arial"/>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8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8"/>
      <w:szCs w:val="28"/>
      <w:lang w:eastAsia="en-US"/>
    </w:rPr>
  </w:style>
  <w:style w:type="character" w:styleId="5">
    <w:name w:val="Hyperlink"/>
    <w:unhideWhenUsed/>
    <w:qFormat/>
    <w:uiPriority w:val="99"/>
    <w:rPr>
      <w:color w:val="0000FF"/>
      <w:u w:val="single"/>
    </w:rPr>
  </w:style>
  <w:style w:type="paragraph" w:styleId="6">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2024-09-20T02:27:36Z</dcterms:created>
  <dc:creator>Si Wen Bin</dc:creator>
  <cp:lastModifiedBy>司文彬</cp:lastModifiedBy>
  <dcterms:modified xsi:type="dcterms:W3CDTF">2024-09-20T02:30:49Z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4F5DD3DF35914CF4A6197F35E004337C</vt:lpwstr>
  </property>
</Properties>
</file>