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6B2E" w:rsidRDefault="00B3586F">
      <w:pPr>
        <w:spacing w:beforeLines="80" w:before="249" w:afterLines="80" w:after="249" w:line="560" w:lineRule="exact"/>
        <w:jc w:val="center"/>
        <w:rPr>
          <w:rFonts w:ascii="华文中宋" w:eastAsia="华文中宋" w:hAnsi="华文中宋"/>
          <w:sz w:val="44"/>
          <w:szCs w:val="44"/>
        </w:rPr>
      </w:pPr>
      <w:bookmarkStart w:id="0" w:name="_GoBack"/>
      <w:bookmarkEnd w:id="0"/>
      <w:r>
        <w:rPr>
          <w:rFonts w:ascii="华文中宋" w:eastAsia="华文中宋" w:hAnsi="华文中宋" w:hint="eastAsia"/>
          <w:sz w:val="44"/>
          <w:szCs w:val="44"/>
        </w:rPr>
        <w:t>《会计师事务所透明度报告披露指引（试行）（征求意见稿）》起草说明</w:t>
      </w:r>
    </w:p>
    <w:p w:rsidR="00346B2E" w:rsidRDefault="00B3586F">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为</w:t>
      </w:r>
      <w:r>
        <w:rPr>
          <w:rFonts w:ascii="仿宋_GB2312" w:eastAsia="仿宋_GB2312" w:hAnsi="仿宋_GB2312" w:cs="仿宋_GB2312" w:hint="eastAsia"/>
          <w:sz w:val="32"/>
          <w:szCs w:val="32"/>
        </w:rPr>
        <w:t>进一步加强注册会计师行业诚</w:t>
      </w:r>
      <w:r>
        <w:rPr>
          <w:rFonts w:ascii="仿宋_GB2312" w:eastAsia="仿宋_GB2312" w:hAnsi="仿宋_GB2312" w:cs="仿宋_GB2312" w:hint="eastAsia"/>
          <w:sz w:val="32"/>
          <w:szCs w:val="32"/>
        </w:rPr>
        <w:t>信建设，</w:t>
      </w:r>
      <w:r>
        <w:rPr>
          <w:rFonts w:ascii="仿宋_GB2312" w:eastAsia="仿宋_GB2312" w:hAnsi="仿宋_GB2312" w:cs="仿宋_GB2312" w:hint="eastAsia"/>
          <w:sz w:val="32"/>
          <w:szCs w:val="32"/>
        </w:rPr>
        <w:t>贯彻落实《注册会计师行业诚信建设纲要》</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财会</w:t>
      </w:r>
      <w:r w:rsidRPr="004159E4">
        <w:rPr>
          <w:rFonts w:ascii="仿宋_GB2312" w:eastAsia="仿宋_GB2312" w:hAnsi="仿宋_GB2312" w:cs="仿宋_GB2312" w:hint="eastAsia"/>
          <w:sz w:val="32"/>
          <w:szCs w:val="32"/>
        </w:rPr>
        <w:t>〔</w:t>
      </w:r>
      <w:r w:rsidRPr="004159E4">
        <w:rPr>
          <w:rFonts w:ascii="仿宋_GB2312" w:eastAsia="仿宋_GB2312" w:hAnsi="仿宋_GB2312" w:cs="仿宋_GB2312"/>
          <w:sz w:val="32"/>
          <w:szCs w:val="32"/>
        </w:rPr>
        <w:t>2023</w:t>
      </w:r>
      <w:r w:rsidRPr="004159E4">
        <w:rPr>
          <w:rFonts w:ascii="仿宋_GB2312" w:eastAsia="仿宋_GB2312" w:hAnsi="仿宋_GB2312" w:cs="仿宋_GB2312" w:hint="eastAsia"/>
          <w:sz w:val="32"/>
          <w:szCs w:val="32"/>
        </w:rPr>
        <w:t>〕</w:t>
      </w:r>
      <w:r w:rsidRPr="004159E4">
        <w:rPr>
          <w:rFonts w:ascii="仿宋_GB2312" w:eastAsia="仿宋_GB2312" w:hAnsi="仿宋_GB2312" w:cs="仿宋_GB2312"/>
          <w:sz w:val="32"/>
          <w:szCs w:val="32"/>
        </w:rPr>
        <w:t>5</w:t>
      </w:r>
      <w:r w:rsidRPr="004159E4">
        <w:rPr>
          <w:rFonts w:ascii="仿宋_GB2312" w:eastAsia="仿宋_GB2312" w:hAnsi="仿宋_GB2312" w:cs="仿宋_GB2312" w:hint="eastAsia"/>
          <w:sz w:val="32"/>
          <w:szCs w:val="32"/>
        </w:rPr>
        <w:t>号</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，完善会计师事务所内部治理，推动会计师事务所加强信息披露，提高审计市场透明度，</w:t>
      </w:r>
      <w:r>
        <w:rPr>
          <w:rFonts w:ascii="Times New Roman" w:eastAsia="仿宋_GB2312" w:hAnsi="Times New Roman" w:hint="eastAsia"/>
          <w:sz w:val="32"/>
        </w:rPr>
        <w:t>中国注册会计师协会（以下简称中注协）起草了</w:t>
      </w:r>
      <w:bookmarkStart w:id="1" w:name="OLE_LINK1"/>
      <w:r>
        <w:rPr>
          <w:rFonts w:ascii="Times New Roman" w:eastAsia="仿宋_GB2312" w:hAnsi="Times New Roman" w:hint="eastAsia"/>
          <w:sz w:val="32"/>
        </w:rPr>
        <w:t>《会计师事务所透明度报告披露指引（试行）（征求意见稿）》</w:t>
      </w:r>
      <w:bookmarkEnd w:id="1"/>
      <w:r>
        <w:rPr>
          <w:rFonts w:ascii="Times New Roman" w:eastAsia="仿宋_GB2312" w:hAnsi="Times New Roman" w:hint="eastAsia"/>
          <w:sz w:val="32"/>
        </w:rPr>
        <w:t>（以下简称《指引》）。现将有关情况说明如下。</w:t>
      </w:r>
    </w:p>
    <w:p w:rsidR="00346B2E" w:rsidRDefault="00B3586F">
      <w:pPr>
        <w:pStyle w:val="pdoc-A"/>
        <w:widowControl w:val="0"/>
        <w:spacing w:line="560" w:lineRule="exact"/>
        <w:ind w:firstLineChars="200" w:firstLine="640"/>
        <w:jc w:val="both"/>
        <w:rPr>
          <w:rFonts w:ascii="黑体" w:eastAsia="黑体" w:hAnsi="黑体"/>
          <w:sz w:val="32"/>
          <w:szCs w:val="32"/>
        </w:rPr>
      </w:pPr>
      <w:r>
        <w:rPr>
          <w:rFonts w:ascii="黑体" w:eastAsia="黑体" w:hAnsi="黑体" w:hint="eastAsia"/>
          <w:sz w:val="32"/>
          <w:szCs w:val="32"/>
        </w:rPr>
        <w:t>一、起草背景</w:t>
      </w:r>
    </w:p>
    <w:p w:rsidR="00346B2E" w:rsidRDefault="00B3586F">
      <w:pPr>
        <w:spacing w:line="560" w:lineRule="exact"/>
        <w:ind w:firstLineChars="200" w:firstLine="640"/>
        <w:rPr>
          <w:rFonts w:ascii="Times New Roman" w:eastAsia="仿宋_GB2312" w:hAnsi="Times New Roman"/>
          <w:sz w:val="32"/>
        </w:rPr>
      </w:pPr>
      <w:r>
        <w:rPr>
          <w:rFonts w:ascii="仿宋_GB2312" w:eastAsia="仿宋_GB2312" w:hint="eastAsia"/>
          <w:sz w:val="32"/>
          <w:szCs w:val="32"/>
        </w:rPr>
        <w:t>新时代高质量发展和全面建设社会主义现代化</w:t>
      </w:r>
      <w:r>
        <w:rPr>
          <w:rFonts w:ascii="仿宋_GB2312" w:eastAsia="仿宋_GB2312" w:hint="eastAsia"/>
          <w:sz w:val="32"/>
          <w:szCs w:val="32"/>
        </w:rPr>
        <w:t>国家</w:t>
      </w:r>
      <w:r>
        <w:rPr>
          <w:rFonts w:ascii="Times New Roman" w:eastAsia="仿宋_GB2312" w:hAnsi="Times New Roman" w:hint="eastAsia"/>
          <w:sz w:val="32"/>
        </w:rPr>
        <w:t>对</w:t>
      </w:r>
      <w:r>
        <w:rPr>
          <w:rFonts w:ascii="仿宋_GB2312" w:eastAsia="仿宋_GB2312" w:hint="eastAsia"/>
          <w:sz w:val="32"/>
          <w:szCs w:val="32"/>
        </w:rPr>
        <w:t>行业诚信建设提出了新的要求</w:t>
      </w:r>
      <w:r>
        <w:rPr>
          <w:rFonts w:ascii="Times New Roman" w:eastAsia="仿宋_GB2312" w:hAnsi="Times New Roman" w:hint="eastAsia"/>
          <w:sz w:val="32"/>
        </w:rPr>
        <w:t>。</w:t>
      </w:r>
      <w:r>
        <w:rPr>
          <w:rFonts w:ascii="仿宋_GB2312" w:eastAsia="仿宋_GB2312" w:hint="eastAsia"/>
          <w:sz w:val="32"/>
          <w:szCs w:val="32"/>
        </w:rPr>
        <w:t>为</w:t>
      </w:r>
      <w:r>
        <w:rPr>
          <w:rFonts w:ascii="仿宋_GB2312" w:eastAsia="仿宋_GB2312" w:hint="eastAsia"/>
          <w:sz w:val="32"/>
          <w:szCs w:val="32"/>
        </w:rPr>
        <w:t>此</w:t>
      </w:r>
      <w:r>
        <w:rPr>
          <w:rFonts w:ascii="仿宋_GB2312" w:eastAsia="仿宋_GB2312" w:hint="eastAsia"/>
          <w:sz w:val="32"/>
          <w:szCs w:val="32"/>
        </w:rPr>
        <w:t>，财政部于</w:t>
      </w:r>
      <w:r>
        <w:rPr>
          <w:rFonts w:ascii="仿宋_GB2312" w:eastAsia="仿宋_GB2312" w:hint="eastAsia"/>
          <w:sz w:val="32"/>
          <w:szCs w:val="32"/>
        </w:rPr>
        <w:t>2</w:t>
      </w:r>
      <w:r>
        <w:rPr>
          <w:rFonts w:ascii="仿宋_GB2312" w:eastAsia="仿宋_GB2312"/>
          <w:sz w:val="32"/>
          <w:szCs w:val="32"/>
        </w:rPr>
        <w:t>023</w:t>
      </w:r>
      <w:r>
        <w:rPr>
          <w:rFonts w:ascii="仿宋_GB2312" w:eastAsia="仿宋_GB2312" w:hint="eastAsia"/>
          <w:sz w:val="32"/>
          <w:szCs w:val="32"/>
        </w:rPr>
        <w:t>年</w:t>
      </w:r>
      <w:r>
        <w:rPr>
          <w:rFonts w:ascii="仿宋_GB2312" w:eastAsia="仿宋_GB2312" w:hint="eastAsia"/>
          <w:sz w:val="32"/>
          <w:szCs w:val="32"/>
        </w:rPr>
        <w:t>3</w:t>
      </w:r>
      <w:r>
        <w:rPr>
          <w:rFonts w:ascii="仿宋_GB2312" w:eastAsia="仿宋_GB2312" w:hint="eastAsia"/>
          <w:sz w:val="32"/>
          <w:szCs w:val="32"/>
        </w:rPr>
        <w:t>月印发了《注册会计师行业诚信建设纲要》，其中提出“</w:t>
      </w:r>
      <w:r>
        <w:rPr>
          <w:rFonts w:ascii="仿宋_GB2312" w:eastAsia="仿宋_GB2312"/>
          <w:sz w:val="32"/>
          <w:szCs w:val="32"/>
        </w:rPr>
        <w:t>持续完善信息披露制度，提高行业诚信信息披露透明度。研究制定会计师事务所发布透明度报告制度，提高公众对行业的信任度</w:t>
      </w:r>
      <w:r>
        <w:rPr>
          <w:rFonts w:ascii="仿宋_GB2312" w:eastAsia="仿宋_GB2312" w:hint="eastAsia"/>
          <w:sz w:val="32"/>
          <w:szCs w:val="32"/>
        </w:rPr>
        <w:t>。”与此同时，社会公众</w:t>
      </w:r>
      <w:r>
        <w:rPr>
          <w:rFonts w:ascii="Times New Roman" w:eastAsia="仿宋_GB2312" w:hAnsi="Times New Roman" w:hint="eastAsia"/>
          <w:sz w:val="32"/>
        </w:rPr>
        <w:t>更加关注会计师事务所的审计质量问题，企业也希望充分了解会计师事务所的审计能力和经验，获取会计师事务所更为全面、个性化的信息，为其选聘合适的事务所提供参考。</w:t>
      </w:r>
    </w:p>
    <w:p w:rsidR="00346B2E" w:rsidRDefault="00B3586F">
      <w:pPr>
        <w:spacing w:line="560" w:lineRule="exact"/>
        <w:ind w:firstLineChars="200" w:firstLine="640"/>
        <w:rPr>
          <w:rFonts w:ascii="仿宋_GB2312" w:eastAsia="仿宋_GB2312"/>
          <w:sz w:val="32"/>
          <w:szCs w:val="32"/>
        </w:rPr>
      </w:pPr>
      <w:r>
        <w:rPr>
          <w:rFonts w:ascii="Times New Roman" w:eastAsia="仿宋_GB2312" w:hAnsi="Times New Roman" w:hint="eastAsia"/>
          <w:sz w:val="32"/>
        </w:rPr>
        <w:t>目前，关于会计师事务所的信息披露要求多为监管规定，披露内容多为事实性、定量化的信息，信息报送和公布多采用统一格式的表格，披露渠道较为分散。为了满足各利益相关方对会</w:t>
      </w:r>
      <w:r>
        <w:rPr>
          <w:rFonts w:ascii="Times New Roman" w:eastAsia="仿宋_GB2312" w:hAnsi="Times New Roman" w:hint="eastAsia"/>
          <w:sz w:val="32"/>
        </w:rPr>
        <w:t>计师事务所信息披露的不同需求，促进形成诚信守法、开放有序、高效规范的审计市场，中注协研究起草了《指</w:t>
      </w:r>
      <w:r>
        <w:rPr>
          <w:rFonts w:ascii="Times New Roman" w:eastAsia="仿宋_GB2312" w:hAnsi="Times New Roman" w:hint="eastAsia"/>
          <w:sz w:val="32"/>
        </w:rPr>
        <w:lastRenderedPageBreak/>
        <w:t>引》，鼓励会计师事务所以真实准确为基础、以及时完整为原则、以清晰实用为目的发布透明度报告，切实</w:t>
      </w:r>
      <w:r>
        <w:rPr>
          <w:rFonts w:ascii="仿宋_GB2312" w:eastAsia="仿宋_GB2312" w:hint="eastAsia"/>
          <w:sz w:val="32"/>
          <w:szCs w:val="32"/>
        </w:rPr>
        <w:t>提高行业诚信信息披露</w:t>
      </w:r>
      <w:r>
        <w:rPr>
          <w:rFonts w:ascii="仿宋_GB2312" w:eastAsia="仿宋_GB2312" w:hint="eastAsia"/>
          <w:sz w:val="32"/>
          <w:szCs w:val="32"/>
        </w:rPr>
        <w:t>质量</w:t>
      </w:r>
      <w:r>
        <w:rPr>
          <w:rFonts w:ascii="仿宋_GB2312" w:eastAsia="仿宋_GB2312" w:hint="eastAsia"/>
          <w:sz w:val="32"/>
          <w:szCs w:val="32"/>
        </w:rPr>
        <w:t>，进一步</w:t>
      </w:r>
      <w:r>
        <w:rPr>
          <w:rFonts w:ascii="仿宋_GB2312" w:eastAsia="仿宋_GB2312" w:hAnsi="仿宋_GB2312" w:cs="仿宋_GB2312" w:hint="eastAsia"/>
          <w:sz w:val="32"/>
          <w:szCs w:val="32"/>
        </w:rPr>
        <w:t>提升审计市场透明度。</w:t>
      </w:r>
    </w:p>
    <w:p w:rsidR="00346B2E" w:rsidRDefault="00B3586F">
      <w:pPr>
        <w:pStyle w:val="pdoc-A"/>
        <w:widowControl w:val="0"/>
        <w:spacing w:line="560" w:lineRule="exact"/>
        <w:ind w:firstLineChars="200" w:firstLine="640"/>
        <w:jc w:val="both"/>
        <w:rPr>
          <w:rFonts w:ascii="黑体" w:eastAsia="黑体" w:hAnsi="黑体"/>
          <w:sz w:val="32"/>
          <w:szCs w:val="32"/>
        </w:rPr>
      </w:pPr>
      <w:r>
        <w:rPr>
          <w:rFonts w:ascii="黑体" w:eastAsia="黑体" w:hAnsi="黑体" w:hint="eastAsia"/>
          <w:sz w:val="32"/>
          <w:szCs w:val="32"/>
        </w:rPr>
        <w:t>二、起草思路</w:t>
      </w:r>
    </w:p>
    <w:p w:rsidR="00346B2E" w:rsidRDefault="00B3586F">
      <w:pPr>
        <w:pStyle w:val="pdoc-A"/>
        <w:widowControl w:val="0"/>
        <w:spacing w:line="560" w:lineRule="exact"/>
        <w:ind w:firstLineChars="200" w:firstLine="643"/>
        <w:jc w:val="both"/>
        <w:rPr>
          <w:rFonts w:ascii="仿宋_GB2312" w:eastAsia="仿宋_GB2312" w:hAnsi="楷体"/>
          <w:color w:val="000000" w:themeColor="text1"/>
          <w:sz w:val="32"/>
          <w:szCs w:val="32"/>
        </w:rPr>
      </w:pPr>
      <w:r>
        <w:rPr>
          <w:rFonts w:ascii="楷体" w:eastAsia="楷体" w:hAnsi="楷体" w:hint="eastAsia"/>
          <w:b/>
          <w:sz w:val="32"/>
          <w:szCs w:val="32"/>
        </w:rPr>
        <w:t>（一）关于《指引》的定位。</w:t>
      </w:r>
      <w:r>
        <w:rPr>
          <w:rFonts w:ascii="仿宋_GB2312" w:eastAsia="仿宋_GB2312" w:hAnsi="楷体" w:hint="eastAsia"/>
          <w:color w:val="000000" w:themeColor="text1"/>
          <w:sz w:val="32"/>
          <w:szCs w:val="32"/>
        </w:rPr>
        <w:t>《指引》对会计师事务所加强信息披露提出基本要求，旨在引导会计师事务所强化内部治理，展示品牌特色，以披露透明度报告等方式让社会公众增加对注册会计师行业和事务所的理解和认识，促进会计师事务所积极作出信息披露，为事务所提供传播发展理念、树立品牌形象的窗口。同时，加强行业正面宣传，向社会各界展示行业服务国家建设</w:t>
      </w:r>
      <w:r>
        <w:rPr>
          <w:rFonts w:ascii="仿宋_GB2312" w:eastAsia="仿宋_GB2312" w:hAnsi="楷体" w:hint="eastAsia"/>
          <w:color w:val="000000" w:themeColor="text1"/>
          <w:sz w:val="32"/>
          <w:szCs w:val="32"/>
        </w:rPr>
        <w:t>的价值和贡献，提升事务所社会认知度和品牌影响力。</w:t>
      </w:r>
    </w:p>
    <w:p w:rsidR="00346B2E" w:rsidRDefault="00B3586F">
      <w:pPr>
        <w:pStyle w:val="pdoc-A"/>
        <w:widowControl w:val="0"/>
        <w:spacing w:line="560" w:lineRule="exact"/>
        <w:ind w:firstLineChars="200" w:firstLine="643"/>
        <w:jc w:val="both"/>
        <w:rPr>
          <w:rFonts w:ascii="仿宋_GB2312" w:eastAsia="仿宋_GB2312" w:hAnsi="楷体"/>
          <w:color w:val="000000" w:themeColor="text1"/>
          <w:sz w:val="32"/>
          <w:szCs w:val="32"/>
        </w:rPr>
      </w:pPr>
      <w:r>
        <w:rPr>
          <w:rFonts w:ascii="楷体" w:eastAsia="楷体" w:hAnsi="楷体" w:hint="eastAsia"/>
          <w:b/>
          <w:sz w:val="32"/>
          <w:szCs w:val="32"/>
        </w:rPr>
        <w:t>（二）关于披露内容。</w:t>
      </w:r>
      <w:r>
        <w:rPr>
          <w:rFonts w:ascii="仿宋_GB2312" w:eastAsia="仿宋_GB2312" w:hAnsi="楷体" w:hint="eastAsia"/>
          <w:color w:val="000000" w:themeColor="text1"/>
          <w:sz w:val="32"/>
          <w:szCs w:val="32"/>
        </w:rPr>
        <w:t>《指引》</w:t>
      </w:r>
      <w:r>
        <w:rPr>
          <w:rFonts w:ascii="仿宋_GB2312" w:eastAsia="仿宋_GB2312" w:hint="eastAsia"/>
          <w:sz w:val="32"/>
          <w:szCs w:val="32"/>
        </w:rPr>
        <w:t>综合考虑了信息披露的强制性与适度性，</w:t>
      </w:r>
      <w:r>
        <w:rPr>
          <w:rFonts w:ascii="仿宋_GB2312" w:eastAsia="仿宋_GB2312" w:hAnsi="楷体" w:hint="eastAsia"/>
          <w:color w:val="000000" w:themeColor="text1"/>
          <w:sz w:val="32"/>
          <w:szCs w:val="32"/>
        </w:rPr>
        <w:t>聚焦</w:t>
      </w:r>
      <w:r>
        <w:rPr>
          <w:rFonts w:ascii="仿宋_GB2312" w:eastAsia="仿宋_GB2312" w:hint="eastAsia"/>
          <w:sz w:val="32"/>
          <w:szCs w:val="32"/>
        </w:rPr>
        <w:t>强制披露信息和自愿披露信息</w:t>
      </w:r>
      <w:r>
        <w:rPr>
          <w:rFonts w:ascii="仿宋_GB2312" w:eastAsia="仿宋_GB2312" w:hAnsi="楷体" w:hint="eastAsia"/>
          <w:color w:val="000000" w:themeColor="text1"/>
          <w:sz w:val="32"/>
          <w:szCs w:val="32"/>
        </w:rPr>
        <w:t>两方面披露内容，强制披露信息为事务所发布的透明度报告中必须披</w:t>
      </w:r>
      <w:r>
        <w:rPr>
          <w:rFonts w:ascii="仿宋_GB2312" w:eastAsia="仿宋_GB2312" w:hAnsi="楷体" w:hint="eastAsia"/>
          <w:color w:val="000000" w:themeColor="text1"/>
          <w:sz w:val="32"/>
          <w:szCs w:val="32"/>
        </w:rPr>
        <w:t>露的内容，自愿披露信息为鼓励事务所披露的内容，事务所可以根据本所实际自行编制发布。事务所对披露内容的描述应遵循实事求是的原则，基于本所实际，详略得当地描述披露信息，切不可跟风盲从或简单复制，披露内容既要体现事务所的发展情况，又要展现事务所自身的竞争优势。</w:t>
      </w:r>
    </w:p>
    <w:p w:rsidR="00346B2E" w:rsidRDefault="00B3586F">
      <w:pPr>
        <w:pStyle w:val="pdoc-A"/>
        <w:widowControl w:val="0"/>
        <w:spacing w:line="560" w:lineRule="exact"/>
        <w:ind w:firstLineChars="200" w:firstLine="643"/>
        <w:jc w:val="both"/>
        <w:rPr>
          <w:rFonts w:ascii="仿宋_GB2312" w:eastAsia="仿宋_GB2312" w:hAnsi="楷体"/>
          <w:color w:val="000000" w:themeColor="text1"/>
          <w:sz w:val="32"/>
          <w:szCs w:val="32"/>
        </w:rPr>
      </w:pPr>
      <w:r>
        <w:rPr>
          <w:rFonts w:ascii="楷体" w:eastAsia="楷体" w:hAnsi="楷体" w:hint="eastAsia"/>
          <w:b/>
          <w:sz w:val="32"/>
          <w:szCs w:val="32"/>
        </w:rPr>
        <w:t>（三）关于披露要求。</w:t>
      </w:r>
      <w:r>
        <w:rPr>
          <w:rFonts w:ascii="仿宋_GB2312" w:eastAsia="仿宋_GB2312" w:hAnsi="楷体" w:hint="eastAsia"/>
          <w:color w:val="000000" w:themeColor="text1"/>
          <w:sz w:val="32"/>
          <w:szCs w:val="32"/>
        </w:rPr>
        <w:t>考虑到与会计师事务所从事证券服务业务信息披露、自查自纠报告等报备时间上的衔接，为保证相关数据的准确性和一致性，《指引》将透明度报告的披露时间点延后，与报备时间错开，确保事务所有充足的时</w:t>
      </w:r>
      <w:r>
        <w:rPr>
          <w:rFonts w:ascii="仿宋_GB2312" w:eastAsia="仿宋_GB2312" w:hAnsi="楷体" w:hint="eastAsia"/>
          <w:color w:val="000000" w:themeColor="text1"/>
          <w:sz w:val="32"/>
          <w:szCs w:val="32"/>
        </w:rPr>
        <w:lastRenderedPageBreak/>
        <w:t>间编制透明度报告。</w:t>
      </w:r>
    </w:p>
    <w:p w:rsidR="00346B2E" w:rsidRDefault="00B3586F">
      <w:pPr>
        <w:pStyle w:val="pdoc-A"/>
        <w:widowControl w:val="0"/>
        <w:spacing w:line="560" w:lineRule="exact"/>
        <w:ind w:firstLineChars="200" w:firstLine="643"/>
        <w:jc w:val="both"/>
        <w:rPr>
          <w:rFonts w:ascii="仿宋_GB2312" w:eastAsia="仿宋_GB2312" w:hAnsi="楷体"/>
          <w:color w:val="000000" w:themeColor="text1"/>
          <w:sz w:val="32"/>
          <w:szCs w:val="32"/>
        </w:rPr>
      </w:pPr>
      <w:r>
        <w:rPr>
          <w:rFonts w:ascii="楷体" w:eastAsia="楷体" w:hAnsi="楷体" w:hint="eastAsia"/>
          <w:b/>
          <w:sz w:val="32"/>
          <w:szCs w:val="32"/>
        </w:rPr>
        <w:t>（四）关于质量保证。</w:t>
      </w:r>
      <w:r>
        <w:rPr>
          <w:rFonts w:ascii="仿宋_GB2312" w:eastAsia="仿宋_GB2312" w:hAnsi="楷体" w:hint="eastAsia"/>
          <w:color w:val="000000" w:themeColor="text1"/>
          <w:sz w:val="32"/>
          <w:szCs w:val="32"/>
        </w:rPr>
        <w:t>按照“谁披露、谁负责”的原则，保证透明度报告披露质量主体是会计师事务所，不应依赖监管机构复核事务所的披露信息，为透明度报告的真实性背书。《指引》是协会为更好服务和管理事务所而起草的制度，不宜作为监管机构开展监督检查的依据。事务所应当结合质量管理体系建设，制定和实施相关的政策和程序，以保证披露信息的真实性。</w:t>
      </w:r>
    </w:p>
    <w:p w:rsidR="00346B2E" w:rsidRDefault="00B3586F">
      <w:pPr>
        <w:pStyle w:val="pdoc-A"/>
        <w:widowControl w:val="0"/>
        <w:spacing w:line="560" w:lineRule="exact"/>
        <w:ind w:firstLineChars="200" w:firstLine="640"/>
        <w:jc w:val="both"/>
        <w:rPr>
          <w:rFonts w:ascii="黑体" w:eastAsia="黑体" w:hAnsi="黑体"/>
          <w:sz w:val="32"/>
          <w:szCs w:val="32"/>
        </w:rPr>
      </w:pPr>
      <w:r>
        <w:rPr>
          <w:rFonts w:ascii="黑体" w:eastAsia="黑体" w:hAnsi="黑体" w:hint="eastAsia"/>
          <w:sz w:val="32"/>
          <w:szCs w:val="32"/>
        </w:rPr>
        <w:t>三、起草过程</w:t>
      </w:r>
    </w:p>
    <w:p w:rsidR="00346B2E" w:rsidRDefault="00B3586F">
      <w:pPr>
        <w:spacing w:line="560" w:lineRule="exact"/>
        <w:ind w:firstLineChars="200" w:firstLine="640"/>
        <w:rPr>
          <w:rFonts w:ascii="仿宋_GB2312" w:eastAsia="仿宋_GB2312"/>
          <w:sz w:val="32"/>
          <w:szCs w:val="32"/>
        </w:rPr>
      </w:pPr>
      <w:r>
        <w:rPr>
          <w:rFonts w:ascii="仿宋_GB2312" w:eastAsia="仿宋_GB2312" w:hAnsi="Times New Roman" w:hint="eastAsia"/>
          <w:sz w:val="32"/>
        </w:rPr>
        <w:t>财政部印发的《注册会计师行业诚信建设纲要</w:t>
      </w:r>
      <w:r>
        <w:rPr>
          <w:rFonts w:ascii="仿宋_GB2312" w:eastAsia="仿宋_GB2312" w:hint="eastAsia"/>
          <w:sz w:val="32"/>
          <w:szCs w:val="32"/>
        </w:rPr>
        <w:t>》公布后，中注协立即着手研究会计师事务所</w:t>
      </w:r>
      <w:r>
        <w:rPr>
          <w:rFonts w:ascii="仿宋_GB2312" w:eastAsia="仿宋_GB2312" w:hint="eastAsia"/>
          <w:sz w:val="32"/>
          <w:szCs w:val="32"/>
        </w:rPr>
        <w:t>信息</w:t>
      </w:r>
      <w:r>
        <w:rPr>
          <w:rFonts w:ascii="仿宋_GB2312" w:eastAsia="仿宋_GB2312" w:hint="eastAsia"/>
          <w:sz w:val="32"/>
          <w:szCs w:val="32"/>
        </w:rPr>
        <w:t>披露情况。我们陆续开展了以下工作：</w:t>
      </w:r>
      <w:r>
        <w:rPr>
          <w:rFonts w:ascii="楷体" w:eastAsia="楷体" w:hAnsi="楷体" w:hint="eastAsia"/>
          <w:b/>
          <w:sz w:val="32"/>
        </w:rPr>
        <w:t>一是做好基础研究工作。</w:t>
      </w:r>
      <w:r>
        <w:rPr>
          <w:rFonts w:ascii="仿宋_GB2312" w:eastAsia="仿宋_GB2312" w:hint="eastAsia"/>
          <w:sz w:val="32"/>
          <w:szCs w:val="32"/>
        </w:rPr>
        <w:t>积极开展基础理论研究，收集、整理国内外会</w:t>
      </w:r>
      <w:r>
        <w:rPr>
          <w:rFonts w:ascii="仿宋_GB2312" w:eastAsia="仿宋_GB2312" w:hint="eastAsia"/>
          <w:sz w:val="32"/>
          <w:szCs w:val="32"/>
        </w:rPr>
        <w:t>计师事务所发布透明度报告的有关资料，包括制度依据、各国会计师事务所透明度报告现状等，形成研究报告，为起草《指引》奠定基础。</w:t>
      </w:r>
      <w:r>
        <w:rPr>
          <w:rFonts w:ascii="楷体" w:eastAsia="楷体" w:hAnsi="楷体" w:hint="eastAsia"/>
          <w:b/>
          <w:sz w:val="32"/>
        </w:rPr>
        <w:t>二是开展专题研究。</w:t>
      </w:r>
      <w:r>
        <w:rPr>
          <w:rFonts w:ascii="仿宋_GB2312" w:eastAsia="仿宋_GB2312" w:hAnsi="仿宋_GB2312" w:cs="仿宋_GB2312" w:hint="eastAsia"/>
          <w:sz w:val="32"/>
          <w:szCs w:val="32"/>
        </w:rPr>
        <w:t>组织会计师事务所有关专家开展专题研究，确定起草思路，提出会计师事务所透明度报告的基本框架。</w:t>
      </w:r>
      <w:r>
        <w:rPr>
          <w:rFonts w:ascii="楷体" w:eastAsia="楷体" w:hAnsi="楷体" w:hint="eastAsia"/>
          <w:b/>
          <w:sz w:val="32"/>
        </w:rPr>
        <w:t>三是广泛开展调研。</w:t>
      </w:r>
      <w:r>
        <w:rPr>
          <w:rFonts w:ascii="仿宋_GB2312" w:eastAsia="仿宋_GB2312" w:hAnsi="仿宋_GB2312" w:cs="仿宋_GB2312" w:hint="eastAsia"/>
          <w:sz w:val="32"/>
          <w:szCs w:val="32"/>
        </w:rPr>
        <w:t>根据起草过程中遇到的重点难点问题形成调研提纲，</w:t>
      </w:r>
      <w:r>
        <w:rPr>
          <w:rFonts w:ascii="仿宋_GB2312" w:eastAsia="仿宋_GB2312" w:hint="eastAsia"/>
          <w:sz w:val="32"/>
          <w:szCs w:val="32"/>
        </w:rPr>
        <w:t>赴事务所走访调研，了解事务所或所在国际网络所披露透明度报告的情况，听取关于透明度报告披露内容、披露要求、披露质量等方面的意见建议。</w:t>
      </w:r>
      <w:r>
        <w:rPr>
          <w:rFonts w:ascii="楷体" w:eastAsia="楷体" w:hAnsi="楷体" w:hint="eastAsia"/>
          <w:b/>
          <w:sz w:val="32"/>
        </w:rPr>
        <w:t>四是形成内部讨论稿。</w:t>
      </w:r>
      <w:r>
        <w:rPr>
          <w:rFonts w:ascii="仿宋_GB2312" w:eastAsia="仿宋_GB2312" w:hint="eastAsia"/>
          <w:sz w:val="32"/>
          <w:szCs w:val="32"/>
        </w:rPr>
        <w:t>借鉴国外透明度报告披露的相关经验，经综合基础研究、调研成果和国际经验</w:t>
      </w:r>
      <w:r>
        <w:rPr>
          <w:rFonts w:ascii="仿宋_GB2312" w:eastAsia="仿宋_GB2312" w:hint="eastAsia"/>
          <w:sz w:val="32"/>
          <w:szCs w:val="32"/>
        </w:rPr>
        <w:t>，起草形成《指引（讨论稿）》。</w:t>
      </w:r>
      <w:r>
        <w:rPr>
          <w:rFonts w:ascii="楷体" w:eastAsia="楷体" w:hAnsi="楷体" w:hint="eastAsia"/>
          <w:b/>
          <w:sz w:val="32"/>
        </w:rPr>
        <w:t>五是打磨完善形成征求意见稿。</w:t>
      </w:r>
      <w:r>
        <w:rPr>
          <w:rFonts w:ascii="仿宋_GB2312" w:eastAsia="仿宋_GB2312" w:hint="eastAsia"/>
          <w:sz w:val="32"/>
          <w:szCs w:val="32"/>
        </w:rPr>
        <w:t>组织有关部门负责人、专家和业内</w:t>
      </w:r>
      <w:r>
        <w:rPr>
          <w:rFonts w:ascii="仿宋_GB2312" w:eastAsia="仿宋_GB2312" w:hint="eastAsia"/>
          <w:sz w:val="32"/>
          <w:szCs w:val="32"/>
        </w:rPr>
        <w:lastRenderedPageBreak/>
        <w:t>人士对讨论稿进一步完善，经认真研究后，修订形成了《指引》的征求意见稿。</w:t>
      </w:r>
    </w:p>
    <w:p w:rsidR="00346B2E" w:rsidRDefault="00B3586F">
      <w:pPr>
        <w:pStyle w:val="pdoc-A"/>
        <w:widowControl w:val="0"/>
        <w:spacing w:line="560" w:lineRule="exact"/>
        <w:ind w:firstLineChars="200" w:firstLine="640"/>
        <w:jc w:val="both"/>
        <w:rPr>
          <w:rFonts w:ascii="黑体" w:eastAsia="黑体" w:hAnsi="黑体"/>
          <w:sz w:val="32"/>
          <w:szCs w:val="32"/>
        </w:rPr>
      </w:pPr>
      <w:r>
        <w:rPr>
          <w:rFonts w:ascii="黑体" w:eastAsia="黑体" w:hAnsi="黑体" w:hint="eastAsia"/>
          <w:sz w:val="32"/>
          <w:szCs w:val="32"/>
        </w:rPr>
        <w:t>四、主要内容</w:t>
      </w:r>
    </w:p>
    <w:p w:rsidR="00346B2E" w:rsidRDefault="00B3586F">
      <w:pPr>
        <w:spacing w:line="560" w:lineRule="exact"/>
        <w:ind w:firstLineChars="200" w:firstLine="640"/>
        <w:rPr>
          <w:rFonts w:ascii="Times New Roman" w:eastAsia="仿宋_GB2312" w:hAnsi="Times New Roman"/>
          <w:sz w:val="32"/>
        </w:rPr>
      </w:pPr>
      <w:r>
        <w:rPr>
          <w:rFonts w:ascii="Times New Roman" w:eastAsia="仿宋_GB2312" w:hAnsi="Times New Roman" w:hint="eastAsia"/>
          <w:sz w:val="32"/>
        </w:rPr>
        <w:t>《指引》共</w:t>
      </w:r>
      <w:r>
        <w:rPr>
          <w:rFonts w:ascii="Times New Roman" w:eastAsia="仿宋_GB2312" w:hAnsi="Times New Roman" w:hint="eastAsia"/>
          <w:sz w:val="32"/>
          <w:lang w:eastAsia="zh-Hans"/>
        </w:rPr>
        <w:t>十</w:t>
      </w:r>
      <w:r>
        <w:rPr>
          <w:rFonts w:ascii="Times New Roman" w:eastAsia="仿宋_GB2312" w:hAnsi="Times New Roman" w:hint="eastAsia"/>
          <w:sz w:val="32"/>
        </w:rPr>
        <w:t>一</w:t>
      </w:r>
      <w:r>
        <w:rPr>
          <w:rFonts w:ascii="Times New Roman" w:eastAsia="仿宋_GB2312" w:hAnsi="Times New Roman" w:hint="eastAsia"/>
          <w:sz w:val="32"/>
          <w:lang w:eastAsia="zh-Hans"/>
        </w:rPr>
        <w:t>条</w:t>
      </w:r>
      <w:r>
        <w:rPr>
          <w:rFonts w:ascii="Times New Roman" w:eastAsia="仿宋_GB2312" w:hAnsi="Times New Roman" w:hint="eastAsia"/>
          <w:sz w:val="32"/>
        </w:rPr>
        <w:t>，在逻辑上可以分为</w:t>
      </w:r>
      <w:r>
        <w:rPr>
          <w:rFonts w:ascii="Times New Roman" w:eastAsia="仿宋_GB2312" w:hAnsi="Times New Roman" w:hint="eastAsia"/>
          <w:sz w:val="32"/>
          <w:lang w:eastAsia="zh-Hans"/>
        </w:rPr>
        <w:t>五</w:t>
      </w:r>
      <w:r>
        <w:rPr>
          <w:rFonts w:ascii="Times New Roman" w:eastAsia="仿宋_GB2312" w:hAnsi="Times New Roman" w:hint="eastAsia"/>
          <w:sz w:val="32"/>
        </w:rPr>
        <w:t>个部分，主要包括以下内容：</w:t>
      </w:r>
    </w:p>
    <w:p w:rsidR="00346B2E" w:rsidRDefault="00B3586F">
      <w:pPr>
        <w:pStyle w:val="pdoc-A"/>
        <w:widowControl w:val="0"/>
        <w:spacing w:line="560" w:lineRule="exact"/>
        <w:ind w:firstLineChars="200" w:firstLine="640"/>
        <w:jc w:val="both"/>
        <w:rPr>
          <w:rFonts w:ascii="楷体" w:eastAsia="楷体" w:hAnsi="楷体"/>
          <w:b/>
          <w:sz w:val="32"/>
          <w:szCs w:val="32"/>
        </w:rPr>
      </w:pPr>
      <w:r>
        <w:rPr>
          <w:rFonts w:ascii="Times New Roman" w:eastAsia="仿宋_GB2312" w:hAnsi="Times New Roman" w:cs="Times New Roman" w:hint="eastAsia"/>
          <w:kern w:val="2"/>
          <w:sz w:val="32"/>
          <w:szCs w:val="22"/>
        </w:rPr>
        <w:t>第一部分，包括第一条至第三条。阐述《指引》的目的和适用范围，提出会计师事务所编制透明度报告应当遵循的总体原则。</w:t>
      </w:r>
    </w:p>
    <w:p w:rsidR="00346B2E" w:rsidRDefault="00B3586F">
      <w:pPr>
        <w:pStyle w:val="pdoc-A"/>
        <w:widowControl w:val="0"/>
        <w:spacing w:line="560" w:lineRule="exact"/>
        <w:ind w:firstLineChars="200" w:firstLine="640"/>
        <w:jc w:val="both"/>
        <w:rPr>
          <w:rFonts w:ascii="楷体" w:eastAsia="楷体" w:hAnsi="楷体"/>
          <w:b/>
          <w:sz w:val="32"/>
          <w:szCs w:val="32"/>
        </w:rPr>
      </w:pPr>
      <w:r>
        <w:rPr>
          <w:rFonts w:ascii="Times New Roman" w:eastAsia="仿宋_GB2312" w:hAnsi="Times New Roman" w:cs="Times New Roman"/>
          <w:kern w:val="2"/>
          <w:sz w:val="32"/>
          <w:szCs w:val="22"/>
        </w:rPr>
        <w:t>第二部分，</w:t>
      </w:r>
      <w:r>
        <w:rPr>
          <w:rFonts w:ascii="Times New Roman" w:eastAsia="仿宋_GB2312" w:hAnsi="Times New Roman" w:cs="Times New Roman" w:hint="eastAsia"/>
          <w:kern w:val="2"/>
          <w:sz w:val="32"/>
          <w:szCs w:val="22"/>
        </w:rPr>
        <w:t>包括第四条至第五条。明确会计师事务所透明度报告的披露内容包括强制披露信息和自愿披露信息</w:t>
      </w:r>
      <w:r>
        <w:rPr>
          <w:rFonts w:ascii="Times New Roman" w:eastAsia="仿宋_GB2312" w:hAnsi="Times New Roman" w:cs="Times New Roman"/>
          <w:kern w:val="2"/>
          <w:sz w:val="32"/>
          <w:szCs w:val="22"/>
        </w:rPr>
        <w:t>。</w:t>
      </w:r>
    </w:p>
    <w:p w:rsidR="00346B2E" w:rsidRDefault="00B3586F">
      <w:pPr>
        <w:spacing w:line="560" w:lineRule="exact"/>
        <w:ind w:firstLineChars="200" w:firstLine="640"/>
        <w:rPr>
          <w:rFonts w:ascii="Times New Roman" w:eastAsia="仿宋_GB2312" w:hAnsi="Times New Roman"/>
          <w:sz w:val="32"/>
        </w:rPr>
      </w:pPr>
      <w:r>
        <w:rPr>
          <w:rFonts w:ascii="Times New Roman" w:eastAsia="仿宋_GB2312" w:hAnsi="Times New Roman" w:hint="eastAsia"/>
          <w:sz w:val="32"/>
        </w:rPr>
        <w:t>第三部分，包括第六条至第七条。对会计师事务所发布透明度报告的时间限制、发布渠道和保留期限提出要求</w:t>
      </w:r>
      <w:r>
        <w:rPr>
          <w:rFonts w:ascii="仿宋_GB2312" w:eastAsia="仿宋_GB2312" w:hint="eastAsia"/>
          <w:sz w:val="32"/>
          <w:szCs w:val="32"/>
        </w:rPr>
        <w:t>。</w:t>
      </w:r>
    </w:p>
    <w:p w:rsidR="00346B2E" w:rsidRDefault="00B3586F">
      <w:pPr>
        <w:spacing w:line="560" w:lineRule="exact"/>
        <w:ind w:firstLineChars="200" w:firstLine="640"/>
        <w:rPr>
          <w:rFonts w:ascii="楷体" w:eastAsia="楷体" w:hAnsi="楷体"/>
          <w:b/>
          <w:sz w:val="32"/>
        </w:rPr>
      </w:pPr>
      <w:r>
        <w:rPr>
          <w:rFonts w:ascii="仿宋_GB2312" w:eastAsia="仿宋_GB2312" w:hint="eastAsia"/>
          <w:sz w:val="32"/>
          <w:szCs w:val="32"/>
        </w:rPr>
        <w:t>第四部分，</w:t>
      </w:r>
      <w:r>
        <w:rPr>
          <w:rFonts w:ascii="Times New Roman" w:eastAsia="仿宋_GB2312" w:hAnsi="Times New Roman" w:hint="eastAsia"/>
          <w:sz w:val="32"/>
        </w:rPr>
        <w:t>包括第八条至第十条。</w:t>
      </w:r>
      <w:r>
        <w:rPr>
          <w:rFonts w:ascii="仿宋_GB2312" w:eastAsia="仿宋_GB2312" w:hint="eastAsia"/>
          <w:sz w:val="32"/>
          <w:szCs w:val="32"/>
        </w:rPr>
        <w:t>明确保证透明度报告披露质量的主体是会计师事务所，会计师事务所要制定相关程序，对透明度报告的真实性、完整性和可靠性负责。如果存在违反职业道德守则要求的行为，中注协将按照行业自律等有关规定进行处理。</w:t>
      </w:r>
    </w:p>
    <w:p w:rsidR="00346B2E" w:rsidRDefault="00B3586F">
      <w:pPr>
        <w:spacing w:line="560" w:lineRule="exact"/>
        <w:ind w:firstLineChars="200" w:firstLine="640"/>
        <w:rPr>
          <w:rFonts w:ascii="仿宋_GB2312" w:eastAsia="仿宋_GB2312"/>
          <w:sz w:val="32"/>
          <w:szCs w:val="32"/>
        </w:rPr>
      </w:pPr>
      <w:r>
        <w:rPr>
          <w:rFonts w:ascii="仿宋_GB2312" w:eastAsia="仿宋_GB2312" w:hint="eastAsia"/>
          <w:sz w:val="32"/>
          <w:szCs w:val="32"/>
        </w:rPr>
        <w:t>第五部分，包括第十一条。明确了《指引》的实施时间。</w:t>
      </w:r>
    </w:p>
    <w:p w:rsidR="00346B2E" w:rsidRDefault="00B3586F">
      <w:pPr>
        <w:pStyle w:val="a6"/>
        <w:widowControl/>
        <w:spacing w:beforeAutospacing="0" w:afterAutospacing="0" w:line="560" w:lineRule="exact"/>
        <w:ind w:firstLineChars="200" w:firstLine="640"/>
      </w:pPr>
      <w:r>
        <w:rPr>
          <w:rFonts w:ascii="黑体" w:eastAsia="黑体" w:hAnsi="宋体" w:cs="黑体" w:hint="eastAsia"/>
          <w:color w:val="000000"/>
          <w:sz w:val="32"/>
          <w:szCs w:val="32"/>
        </w:rPr>
        <w:t>五、征求意见的主要问题</w:t>
      </w:r>
    </w:p>
    <w:p w:rsidR="00346B2E" w:rsidRDefault="00B3586F">
      <w:pPr>
        <w:pStyle w:val="a6"/>
        <w:widowControl/>
        <w:spacing w:beforeAutospacing="0" w:afterAutospacing="0" w:line="560" w:lineRule="exact"/>
        <w:ind w:firstLineChars="200" w:firstLine="640"/>
        <w:jc w:val="both"/>
      </w:pPr>
      <w:r>
        <w:rPr>
          <w:rFonts w:ascii="仿宋_GB2312" w:eastAsia="仿宋_GB2312" w:cs="仿宋_GB2312"/>
          <w:color w:val="000000"/>
          <w:sz w:val="32"/>
          <w:szCs w:val="32"/>
        </w:rPr>
        <w:t>1.</w:t>
      </w:r>
      <w:r>
        <w:rPr>
          <w:rFonts w:ascii="仿宋_GB2312" w:eastAsia="仿宋_GB2312" w:cs="仿宋_GB2312"/>
          <w:color w:val="000000"/>
          <w:sz w:val="32"/>
          <w:szCs w:val="32"/>
        </w:rPr>
        <w:t>您对于</w:t>
      </w:r>
      <w:r>
        <w:rPr>
          <w:rFonts w:ascii="仿宋_GB2312" w:eastAsia="仿宋_GB2312" w:cs="仿宋_GB2312" w:hint="eastAsia"/>
          <w:color w:val="000000"/>
          <w:sz w:val="32"/>
          <w:szCs w:val="32"/>
        </w:rPr>
        <w:t>《指引》的框架结构有何意见？请说明理由及具体修改建议。</w:t>
      </w:r>
    </w:p>
    <w:p w:rsidR="00346B2E" w:rsidRDefault="00B3586F">
      <w:pPr>
        <w:pStyle w:val="a6"/>
        <w:widowControl/>
        <w:spacing w:beforeAutospacing="0" w:afterAutospacing="0" w:line="560" w:lineRule="exact"/>
        <w:ind w:firstLineChars="200" w:firstLine="640"/>
        <w:jc w:val="both"/>
      </w:pPr>
      <w:r>
        <w:rPr>
          <w:rFonts w:ascii="仿宋_GB2312" w:eastAsia="仿宋_GB2312" w:cs="仿宋_GB2312" w:hint="eastAsia"/>
          <w:color w:val="000000"/>
          <w:sz w:val="32"/>
          <w:szCs w:val="32"/>
        </w:rPr>
        <w:t>2.</w:t>
      </w:r>
      <w:r>
        <w:rPr>
          <w:rFonts w:ascii="仿宋_GB2312" w:eastAsia="仿宋_GB2312" w:cs="仿宋_GB2312" w:hint="eastAsia"/>
          <w:color w:val="000000"/>
          <w:sz w:val="32"/>
          <w:szCs w:val="32"/>
        </w:rPr>
        <w:t>您对于透明度报告披露的内容有何意见？请说明理由及具体修改建议。</w:t>
      </w:r>
    </w:p>
    <w:p w:rsidR="00346B2E" w:rsidRDefault="00B3586F">
      <w:pPr>
        <w:pStyle w:val="a6"/>
        <w:widowControl/>
        <w:spacing w:beforeAutospacing="0" w:afterAutospacing="0" w:line="560" w:lineRule="exact"/>
        <w:ind w:firstLineChars="200" w:firstLine="640"/>
        <w:jc w:val="both"/>
      </w:pPr>
      <w:r>
        <w:rPr>
          <w:rFonts w:ascii="仿宋_GB2312" w:eastAsia="仿宋_GB2312" w:cs="仿宋_GB2312" w:hint="eastAsia"/>
          <w:color w:val="000000"/>
          <w:sz w:val="32"/>
          <w:szCs w:val="32"/>
        </w:rPr>
        <w:lastRenderedPageBreak/>
        <w:t>3.</w:t>
      </w:r>
      <w:r>
        <w:rPr>
          <w:rFonts w:ascii="仿宋_GB2312" w:eastAsia="仿宋_GB2312" w:cs="仿宋_GB2312" w:hint="eastAsia"/>
          <w:color w:val="000000"/>
          <w:sz w:val="32"/>
          <w:szCs w:val="32"/>
        </w:rPr>
        <w:t>您对于透明度报告披露时间要求有何意见？请说明理由及具体修改建议。</w:t>
      </w:r>
    </w:p>
    <w:p w:rsidR="00346B2E" w:rsidRDefault="00B3586F">
      <w:pPr>
        <w:pStyle w:val="a6"/>
        <w:widowControl/>
        <w:spacing w:beforeAutospacing="0" w:afterAutospacing="0" w:line="560" w:lineRule="exact"/>
        <w:ind w:firstLineChars="200" w:firstLine="640"/>
        <w:jc w:val="both"/>
      </w:pPr>
      <w:r>
        <w:rPr>
          <w:rFonts w:ascii="仿宋_GB2312" w:eastAsia="仿宋_GB2312" w:cs="仿宋_GB2312" w:hint="eastAsia"/>
          <w:color w:val="000000"/>
          <w:sz w:val="32"/>
          <w:szCs w:val="32"/>
        </w:rPr>
        <w:t>4.</w:t>
      </w:r>
      <w:r>
        <w:rPr>
          <w:rFonts w:ascii="仿宋_GB2312" w:eastAsia="仿宋_GB2312" w:cs="仿宋_GB2312" w:hint="eastAsia"/>
          <w:color w:val="000000"/>
          <w:sz w:val="32"/>
          <w:szCs w:val="32"/>
        </w:rPr>
        <w:t>您对于《指引》有何其他意见和建议？</w:t>
      </w:r>
      <w:r>
        <w:t> </w:t>
      </w:r>
    </w:p>
    <w:sectPr w:rsidR="00346B2E">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3586F" w:rsidRDefault="00B3586F">
      <w:r>
        <w:separator/>
      </w:r>
    </w:p>
  </w:endnote>
  <w:endnote w:type="continuationSeparator" w:id="0">
    <w:p w:rsidR="00B3586F" w:rsidRDefault="00B358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华文中宋">
    <w:panose1 w:val="02010600040101010101"/>
    <w:charset w:val="86"/>
    <w:family w:val="auto"/>
    <w:pitch w:val="variable"/>
    <w:sig w:usb0="00000287" w:usb1="080F0000" w:usb2="00000010" w:usb3="00000000" w:csb0="0004009F" w:csb1="00000000"/>
  </w:font>
  <w:font w:name="仿宋_GB2312">
    <w:altName w:val="仿宋"/>
    <w:charset w:val="86"/>
    <w:family w:val="modern"/>
    <w:pitch w:val="fixed"/>
    <w:sig w:usb0="00000000"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6B2E" w:rsidRDefault="00B3586F">
    <w:pPr>
      <w:pStyle w:val="a4"/>
      <w:jc w:val="center"/>
    </w:pPr>
    <w:r>
      <w:fldChar w:fldCharType="begin"/>
    </w:r>
    <w:r>
      <w:instrText>PAGE   \* MERGEFORMAT</w:instrText>
    </w:r>
    <w:r>
      <w:fldChar w:fldCharType="separate"/>
    </w:r>
    <w:r w:rsidR="004159E4" w:rsidRPr="004159E4">
      <w:rPr>
        <w:noProof/>
        <w:lang w:val="zh-CN"/>
      </w:rPr>
      <w:t>2</w:t>
    </w:r>
    <w:r>
      <w:fldChar w:fldCharType="end"/>
    </w:r>
  </w:p>
  <w:p w:rsidR="00346B2E" w:rsidRDefault="00346B2E">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3586F" w:rsidRDefault="00B3586F">
      <w:r>
        <w:separator/>
      </w:r>
    </w:p>
  </w:footnote>
  <w:footnote w:type="continuationSeparator" w:id="0">
    <w:p w:rsidR="00B3586F" w:rsidRDefault="00B3586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4"/>
  <w:bordersDoNotSurroundHeader/>
  <w:bordersDoNotSurroundFooter/>
  <w:trackRevisions/>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55D5"/>
    <w:rsid w:val="000308F2"/>
    <w:rsid w:val="00041AFC"/>
    <w:rsid w:val="00052BD1"/>
    <w:rsid w:val="0009236D"/>
    <w:rsid w:val="000C7D7D"/>
    <w:rsid w:val="000D58E0"/>
    <w:rsid w:val="000F1254"/>
    <w:rsid w:val="001319D3"/>
    <w:rsid w:val="001377A6"/>
    <w:rsid w:val="00152434"/>
    <w:rsid w:val="001552F8"/>
    <w:rsid w:val="00157158"/>
    <w:rsid w:val="001B010B"/>
    <w:rsid w:val="001D324E"/>
    <w:rsid w:val="001D6CEF"/>
    <w:rsid w:val="001E4BD4"/>
    <w:rsid w:val="00226691"/>
    <w:rsid w:val="0024719B"/>
    <w:rsid w:val="002537E0"/>
    <w:rsid w:val="002B7613"/>
    <w:rsid w:val="002E6F9C"/>
    <w:rsid w:val="002F7FD2"/>
    <w:rsid w:val="00325E08"/>
    <w:rsid w:val="00332F9F"/>
    <w:rsid w:val="00335FDF"/>
    <w:rsid w:val="00346B2E"/>
    <w:rsid w:val="00362745"/>
    <w:rsid w:val="00374572"/>
    <w:rsid w:val="00394D48"/>
    <w:rsid w:val="003A69FB"/>
    <w:rsid w:val="003B19A9"/>
    <w:rsid w:val="003B4AA0"/>
    <w:rsid w:val="003B6D7A"/>
    <w:rsid w:val="003E22E2"/>
    <w:rsid w:val="003E52A2"/>
    <w:rsid w:val="004159E4"/>
    <w:rsid w:val="0041688D"/>
    <w:rsid w:val="00420FFD"/>
    <w:rsid w:val="00421C08"/>
    <w:rsid w:val="00440428"/>
    <w:rsid w:val="00466FBD"/>
    <w:rsid w:val="004748E7"/>
    <w:rsid w:val="004C4060"/>
    <w:rsid w:val="004E4C70"/>
    <w:rsid w:val="004E60EE"/>
    <w:rsid w:val="00542517"/>
    <w:rsid w:val="00543A94"/>
    <w:rsid w:val="005828E4"/>
    <w:rsid w:val="005B74BD"/>
    <w:rsid w:val="005C1D75"/>
    <w:rsid w:val="005D3D34"/>
    <w:rsid w:val="00615077"/>
    <w:rsid w:val="0062148D"/>
    <w:rsid w:val="00667548"/>
    <w:rsid w:val="00673225"/>
    <w:rsid w:val="006863F8"/>
    <w:rsid w:val="006E2F71"/>
    <w:rsid w:val="00730E1F"/>
    <w:rsid w:val="007603B0"/>
    <w:rsid w:val="00762411"/>
    <w:rsid w:val="0077328E"/>
    <w:rsid w:val="007C63FD"/>
    <w:rsid w:val="007D0B47"/>
    <w:rsid w:val="007D13CE"/>
    <w:rsid w:val="007F4777"/>
    <w:rsid w:val="00852E82"/>
    <w:rsid w:val="0087278D"/>
    <w:rsid w:val="00872CA7"/>
    <w:rsid w:val="00882304"/>
    <w:rsid w:val="008F27F3"/>
    <w:rsid w:val="008F2BB0"/>
    <w:rsid w:val="0090268F"/>
    <w:rsid w:val="00944353"/>
    <w:rsid w:val="009B5463"/>
    <w:rsid w:val="009B64C8"/>
    <w:rsid w:val="009E55D5"/>
    <w:rsid w:val="009F30A7"/>
    <w:rsid w:val="009F37DF"/>
    <w:rsid w:val="00A2547A"/>
    <w:rsid w:val="00A41D17"/>
    <w:rsid w:val="00A4245A"/>
    <w:rsid w:val="00A46964"/>
    <w:rsid w:val="00A83CE4"/>
    <w:rsid w:val="00A90687"/>
    <w:rsid w:val="00A9103F"/>
    <w:rsid w:val="00A92446"/>
    <w:rsid w:val="00AD4DF4"/>
    <w:rsid w:val="00AF1F63"/>
    <w:rsid w:val="00AF4BC6"/>
    <w:rsid w:val="00AF58A7"/>
    <w:rsid w:val="00B04C2A"/>
    <w:rsid w:val="00B3586F"/>
    <w:rsid w:val="00BD40B2"/>
    <w:rsid w:val="00C65739"/>
    <w:rsid w:val="00C71EF1"/>
    <w:rsid w:val="00C76C58"/>
    <w:rsid w:val="00C95F0D"/>
    <w:rsid w:val="00CE71AF"/>
    <w:rsid w:val="00D003A5"/>
    <w:rsid w:val="00D221FB"/>
    <w:rsid w:val="00D43207"/>
    <w:rsid w:val="00D85183"/>
    <w:rsid w:val="00D97F9A"/>
    <w:rsid w:val="00DC0A25"/>
    <w:rsid w:val="00DE3E59"/>
    <w:rsid w:val="00E02629"/>
    <w:rsid w:val="00E50C98"/>
    <w:rsid w:val="00E54893"/>
    <w:rsid w:val="00E55140"/>
    <w:rsid w:val="00E6293C"/>
    <w:rsid w:val="00E763BE"/>
    <w:rsid w:val="00EF06FB"/>
    <w:rsid w:val="00F60192"/>
    <w:rsid w:val="00F61584"/>
    <w:rsid w:val="00F95573"/>
    <w:rsid w:val="00FB4671"/>
    <w:rsid w:val="00FC5042"/>
    <w:rsid w:val="00FD223F"/>
    <w:rsid w:val="00FF0798"/>
    <w:rsid w:val="03F14891"/>
    <w:rsid w:val="06241BB8"/>
    <w:rsid w:val="0C335AA1"/>
    <w:rsid w:val="0F336184"/>
    <w:rsid w:val="12070122"/>
    <w:rsid w:val="173C5EDE"/>
    <w:rsid w:val="17960421"/>
    <w:rsid w:val="17DF007D"/>
    <w:rsid w:val="17F66350"/>
    <w:rsid w:val="1CC263CC"/>
    <w:rsid w:val="1FBD7A77"/>
    <w:rsid w:val="249A1D00"/>
    <w:rsid w:val="2EBE39B4"/>
    <w:rsid w:val="2F9826B6"/>
    <w:rsid w:val="2FDA28C0"/>
    <w:rsid w:val="325D2CBC"/>
    <w:rsid w:val="32826376"/>
    <w:rsid w:val="34A36629"/>
    <w:rsid w:val="489E7840"/>
    <w:rsid w:val="4E115C1E"/>
    <w:rsid w:val="4FB23070"/>
    <w:rsid w:val="512638AD"/>
    <w:rsid w:val="59B67E2E"/>
    <w:rsid w:val="63CF4368"/>
    <w:rsid w:val="64565C67"/>
    <w:rsid w:val="665F537F"/>
    <w:rsid w:val="6AE079BB"/>
    <w:rsid w:val="6D945392"/>
    <w:rsid w:val="6F3641E3"/>
    <w:rsid w:val="6FB01940"/>
    <w:rsid w:val="748653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38EB86C-E114-4D89-A469-EE77D1AA59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semiHidden="1" w:uiPriority="59" w:unhideWhenUsed="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Calibri" w:hAnsi="Calibr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Pr>
      <w:sz w:val="18"/>
      <w:szCs w:val="18"/>
    </w:rPr>
  </w:style>
  <w:style w:type="paragraph" w:styleId="a4">
    <w:name w:val="footer"/>
    <w:basedOn w:val="a"/>
    <w:link w:val="Char0"/>
    <w:uiPriority w:val="99"/>
    <w:unhideWhenUsed/>
    <w:qFormat/>
    <w:pPr>
      <w:tabs>
        <w:tab w:val="center" w:pos="4153"/>
        <w:tab w:val="right" w:pos="8306"/>
      </w:tabs>
      <w:snapToGrid w:val="0"/>
      <w:jc w:val="left"/>
    </w:pPr>
    <w:rPr>
      <w:sz w:val="18"/>
      <w:szCs w:val="18"/>
    </w:rPr>
  </w:style>
  <w:style w:type="paragraph" w:styleId="a5">
    <w:name w:val="header"/>
    <w:basedOn w:val="a"/>
    <w:link w:val="Char1"/>
    <w:uiPriority w:val="99"/>
    <w:unhideWhenUsed/>
    <w:qFormat/>
    <w:pPr>
      <w:tabs>
        <w:tab w:val="center" w:pos="4153"/>
        <w:tab w:val="right" w:pos="8306"/>
      </w:tabs>
      <w:snapToGrid w:val="0"/>
      <w:jc w:val="center"/>
    </w:pPr>
    <w:rPr>
      <w:sz w:val="18"/>
      <w:szCs w:val="18"/>
    </w:rPr>
  </w:style>
  <w:style w:type="paragraph" w:styleId="a6">
    <w:name w:val="Normal (Web)"/>
    <w:basedOn w:val="a"/>
    <w:uiPriority w:val="99"/>
    <w:semiHidden/>
    <w:unhideWhenUsed/>
    <w:qFormat/>
    <w:pPr>
      <w:spacing w:beforeAutospacing="1" w:afterAutospacing="1"/>
      <w:jc w:val="left"/>
    </w:pPr>
    <w:rPr>
      <w:kern w:val="0"/>
      <w:sz w:val="24"/>
    </w:rPr>
  </w:style>
  <w:style w:type="character" w:customStyle="1" w:styleId="Char0">
    <w:name w:val="页脚 Char"/>
    <w:basedOn w:val="a0"/>
    <w:link w:val="a4"/>
    <w:uiPriority w:val="99"/>
    <w:qFormat/>
    <w:rPr>
      <w:rFonts w:ascii="Calibri" w:eastAsia="宋体" w:hAnsi="Calibri" w:cs="Times New Roman"/>
      <w:sz w:val="18"/>
      <w:szCs w:val="18"/>
    </w:rPr>
  </w:style>
  <w:style w:type="paragraph" w:customStyle="1" w:styleId="pdoc-A">
    <w:name w:val="p_doc-A"/>
    <w:basedOn w:val="a"/>
    <w:qFormat/>
    <w:pPr>
      <w:widowControl/>
      <w:ind w:firstLine="520"/>
      <w:jc w:val="left"/>
    </w:pPr>
    <w:rPr>
      <w:rFonts w:ascii="微软雅黑" w:eastAsia="微软雅黑" w:hAnsi="微软雅黑" w:cs="微软雅黑"/>
      <w:kern w:val="0"/>
      <w:sz w:val="26"/>
      <w:szCs w:val="26"/>
    </w:rPr>
  </w:style>
  <w:style w:type="character" w:customStyle="1" w:styleId="Char">
    <w:name w:val="批注框文本 Char"/>
    <w:basedOn w:val="a0"/>
    <w:link w:val="a3"/>
    <w:uiPriority w:val="99"/>
    <w:semiHidden/>
    <w:qFormat/>
    <w:rPr>
      <w:rFonts w:ascii="Calibri" w:eastAsia="宋体" w:hAnsi="Calibri" w:cs="Times New Roman"/>
      <w:sz w:val="18"/>
      <w:szCs w:val="18"/>
    </w:rPr>
  </w:style>
  <w:style w:type="character" w:customStyle="1" w:styleId="Char1">
    <w:name w:val="页眉 Char"/>
    <w:basedOn w:val="a0"/>
    <w:link w:val="a5"/>
    <w:uiPriority w:val="99"/>
    <w:qFormat/>
    <w:rPr>
      <w:rFonts w:ascii="Calibri" w:hAnsi="Calibri"/>
      <w:kern w:val="2"/>
      <w:sz w:val="18"/>
      <w:szCs w:val="18"/>
    </w:rPr>
  </w:style>
  <w:style w:type="paragraph" w:customStyle="1" w:styleId="1">
    <w:name w:val="修订1"/>
    <w:hidden/>
    <w:uiPriority w:val="99"/>
    <w:unhideWhenUsed/>
    <w:qFormat/>
    <w:rPr>
      <w:rFonts w:ascii="Calibri" w:hAnsi="Calibri"/>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F2B59B-A88F-4456-8BB8-EA66991CAD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5</Pages>
  <Words>328</Words>
  <Characters>1876</Characters>
  <Application>Microsoft Office Word</Application>
  <DocSecurity>0</DocSecurity>
  <Lines>15</Lines>
  <Paragraphs>4</Paragraphs>
  <ScaleCrop>false</ScaleCrop>
  <Company/>
  <LinksUpToDate>false</LinksUpToDate>
  <CharactersWithSpaces>2200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郑露露</dc:creator>
  <cp:lastModifiedBy>郭佳楠</cp:lastModifiedBy>
  <cp:revision>61</cp:revision>
  <cp:lastPrinted>2024-12-06T06:38:00Z</cp:lastPrinted>
  <dcterms:created xsi:type="dcterms:W3CDTF">2024-08-07T01:43:00Z</dcterms:created>
  <dcterms:modified xsi:type="dcterms:W3CDTF">2025-01-14T02:43:00Z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2052-11.8.2.12309</vt:lpwstr>
  </property>
  <property fmtid="{D5CDD505-2E9C-101B-9397-08002B2CF9AE}" pid="3" name="ICV">
    <vt:lpwstr>C1BEF55DED2B41C49768622F9B7AB481</vt:lpwstr>
  </property>
</Properties>
</file>